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 xml:space="preserve">: 03-010615-0007-CO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Res. Nº 2006-17593</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 xml:space="preserve">SALA CONSTITUCIONAL DE LA CORTE SUPREMA DE JUSTICIA. San José, a las quince horas del seis de diciembre de dos mil seis.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Acción de inconstitucionalidad promovida por FEDERICO MALAVASSI CALVO, portador de la cédula de identidad número 3-217-975, RONALDO ALFARO GARCÍA, cédula de identidad número 1-405-1335, PETER GUEVARA GUTH, cédula número 1-649-102, CARLOS HERRERA CALVO, cédula 1-596-637, CARLOS SALAZAR RAMÍREZ, cédula 2- 351-215; contra los artículos 20 inciso b), párrafos II, VIII, IX y X; 21, 38 ,48 ,60 y 61, todos del Reglamento denominado “Normativa de Relaciones Laborales” emitido por la Junta Directiva de la Caja Costarricense de Seguro Social, aprobado por la Junta Directiva de la Caja Costarricense de Seguro Social en sesiones números 7217 y 7234 de veintitrés de mayo y treinta de junio, ambos de mil novecientos noventa y ocho, artículos 23 y 1°, respectivamente, publicado en La Gaceta número 137 de dieciséis de julio de mil novecientos noventa y ocho. Intervinieron también en el proceso </w:t>
      </w:r>
      <w:proofErr w:type="spellStart"/>
      <w:r w:rsidRPr="00FB2555">
        <w:rPr>
          <w:rFonts w:ascii="Verdana" w:eastAsia="Times New Roman" w:hAnsi="Verdana" w:cs="Times New Roman"/>
          <w:color w:val="000000"/>
          <w:sz w:val="20"/>
          <w:szCs w:val="20"/>
          <w:lang w:eastAsia="es-CR"/>
        </w:rPr>
        <w:t>Farid</w:t>
      </w:r>
      <w:proofErr w:type="spellEnd"/>
      <w:r w:rsidRPr="00FB2555">
        <w:rPr>
          <w:rFonts w:ascii="Verdana" w:eastAsia="Times New Roman" w:hAnsi="Verdana" w:cs="Times New Roman"/>
          <w:color w:val="000000"/>
          <w:sz w:val="20"/>
          <w:szCs w:val="20"/>
          <w:lang w:eastAsia="es-CR"/>
        </w:rPr>
        <w:t xml:space="preserve"> Beirute Brenes, en su calidad de Procurador General Adjunto de la República; Rodrigo Cordero Fernández y Edwin Rodríguez Alvarado, apoderados generales judiciales sin límite de suma de la Caja Costarricense de Seguro Social; Rigoberto Salas Aguilar, en su condición de secretario general del Sindicato de Profesionales en Ciencia Médicas de la Caja Costarricense del Seguro Social (SIPROMOCIMECA) y Luis Chavarría Vega, secretario general del Sindicato Unión Nacional de Empleados de la Caja y la Seguridad Social (UNDECA). </w:t>
      </w:r>
    </w:p>
    <w:p w:rsidR="00A65DB7" w:rsidRPr="00FB2555" w:rsidRDefault="00A65DB7" w:rsidP="00A65DB7">
      <w:pPr>
        <w:spacing w:before="100" w:beforeAutospacing="1" w:after="100" w:afterAutospacing="1" w:line="240" w:lineRule="auto"/>
        <w:jc w:val="center"/>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Resultando:</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1.-</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Por escrito recibido en la Secretaría de la Sala el diez de octubre de dos mil cuatro, los accionantes solicitan que se declare la inconstitucionalidad de los artículos 20 inciso b), párrafos II, VIII, IX y X; 21, 38, 48, 60 y 61, todos del Reglamento denominado “Normativa de Relaciones Laborales”. Alegan que dichos artículos contravienen los principios de igualdad, racionalidad, razonabilidad y proporcionalidad, así como el principio de seguridad social. Manifiestan que los párrafos del inciso b) del artículo 20 otorgan privilegios de los que no goza ningún otro trabajador del sector público ni privado y se destinan fondos públicos en actividades de interés exclusivo para el trabajador, además deja a discrecionalidad de su superior, el otorgamiento de permisos sin establecerse plazos o criterios que limiten esa potestad. En cuanto al artículo 60, consideran que se establece un beneficio a favor de los delegados de los sindicatos y de sus afiliados, estiman que dicha norma, así como el artículo 61 son inconstitucionales, pues establecen privilegios sin razón, violentan los principios de razonabilidad, razonabilidad y proporcionalidad; aseguran que es también una violación al principio de legalidad en cuanto los actos discrecionales deben estar sujetos a parámetros de razonabilidad y proporcionalidad. Manifiestan en relación con el artículo 48 que la aplicación de esa norma se circunscribe a un grupo de personas, sin que exista fundamento legal para ello, violentando así el artículo 33 de la Constitución Política. Alegan que no debe existir un régimen de salud pública que establezca diferencias entre los contribuyentes al sistema. En cuanto al texto del artículo 21, alegan que lesiona el principio de igualdad, por cuanto el resto de trabajadores de la Administración no tiene derecho a un aumento en el auxilio de </w:t>
      </w:r>
      <w:r w:rsidRPr="00FB2555">
        <w:rPr>
          <w:rFonts w:ascii="Verdana" w:eastAsia="Times New Roman" w:hAnsi="Verdana" w:cs="Times New Roman"/>
          <w:color w:val="000000"/>
          <w:sz w:val="20"/>
          <w:szCs w:val="20"/>
          <w:lang w:eastAsia="es-CR"/>
        </w:rPr>
        <w:lastRenderedPageBreak/>
        <w:t xml:space="preserve">cesantía a 12 años y no encuentra justificación para privilegiar a un grupo determinado de trabajadores en detrimento de los otros. Consideran que el artículo 38 establece un privilegio abusivo para los trabajadores que consiste en el pago de una indemnización adicional de un salario en los casos en que el despido haya sido ilegal, en adición a la indemnización que corresponde legalmente. Solicitan que declare con lugar la presente acción de inconstitucionalidad en todos sus extremos y en consecuencia se declare la nulidad de los artículos 20 inciso b), párrafos II, VIII, IX y X; 21, 38, 48, 60 y 61, todos del Reglamento denominado “Normativa de Relaciones Laborales” de la Caja Costarricense de Seguro Social.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2.-</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Por resolución de las ocho horas veinticinco minutos del treinta de enero de dos mil cuatro se previno a los accionantes que dentro de tercero día, aportaran nueve juegos de copias del libelo de interposición y de la documentación que la acompaña, así como aportar el timbre del Colegio de Abogados de Costa Rica, correspondiente a la autenticación de las firmas del escrito inicial de la acción. (Folio 16)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3.-</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Mediante escrito presentado en la Sala a las trece horas diez minutos del seis de febrero de dos mil cuatro, los accionantes cumplieron con la prevención realizada.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4.-</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A efecto de fundamentar la legitimación que ostentan para promover esta acción de inconstitucionalidad, los accionantes invocan el artículo 75 párrafo segundo de la Ley de Jurisdicción Constitucional, por cuanto estiman que la normativa impugnada incide en el núcleo de derechos e intereses que atañen a la colectividad en conjunto. Afirman que la normativa de trabajo en las normas impugnadas constituye una desproporción y abuso en el uso y destino de los fondos públicos que afectan prestación de servicios y un uso indebido del dinero de los costarricenses para procurar condiciones de empleo privilegiadas.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5.-</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Por resolución de las trece horas con dieciocho minutos del nueve de febrero de dos mil cuatro (visible a folio 22 del expediente), se le dio curso a la acción, confiriéndole audiencia a la Procuraduría General de la República y a la Caja Costarricense de Seguro Social.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6.-</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La Procuraduría General de la República rindió su informe visible a folio 27. Señala que comparte el criterio de los accionantes con respecto a la legitimación que invocan, pues algunas de las normas impugnadas incluyen beneficios desproporcionados e irrazonables los cuales son financiados por fondos públicos. En el análisis de los artículos 20, 60 y 61, afirma que en anteriores informes rendidos a la Sala han indicado que estas normas no son inconstitucionales por sí mismas. En cuanto a la actividad sindical, señala la existencia de disposiciones sobre las facilidades que corresponde otorgar a los dirigentes de los trabajadores para el adecuado ejercicio de </w:t>
      </w:r>
      <w:r w:rsidRPr="00FB2555">
        <w:rPr>
          <w:rFonts w:ascii="Verdana" w:eastAsia="Times New Roman" w:hAnsi="Verdana" w:cs="Times New Roman"/>
          <w:color w:val="000000"/>
          <w:sz w:val="20"/>
          <w:szCs w:val="20"/>
          <w:lang w:eastAsia="es-CR"/>
        </w:rPr>
        <w:lastRenderedPageBreak/>
        <w:t xml:space="preserve">sus funciones, así estipulado en el artículo 2° del Convenio número 135 y la Recomendación número 143, ambos de la Organización Internacional del Trabajo, además de la existencia de normativa interna en este sentido. Considera que los permisos con goce de salario por matrimonio o nacimiento de hijos del trabajador tampoco quebrantan los principios de razonabilidad y objetividad, pues más bien son reconocidos ampliamente en el ámbito del empleo público. No estima que las disposiciones en cuestión violen las normas y principios constitucionales señalados por los accionantes. En cuanto al artículo 48 manifiesta que el Régimen de Enfermedad y Maternidad, que es parte de la seguridad social del país, impone una contribución forzosa a patronos y trabajadores que consiste en el pago de cuotas porcentuales sobre el ingreso salarial, por lo que considera que existe una clara violación del principio de legalidad, ya que dicha norma establece una diferencia en cuanto a la cotización mensual a este régimen, que no tiene fundamento alguno; alega que tal disposición carece de justificación razonable, objetiva y que además viola los principios de razonabilidad y proporcionalidad, debido a que la diferencia referida al pago de un cincuenta por ciento menos en la cotización de este régimen a favor de los trabajadores de la Caja; el fundamento único de esa diferenciación lo determina la cualidad de trabajador del ente administrador de los Seguros Sociales. Indica que conforme al artículo 11 de la Constitución Política, la Junta Directiva de la Caja Costarricense de Seguro Social no tiene facultades para disponer de una cotización privilegiada. Estima respecto del artículo 21 que en la impugnación de normas semejantes, la Sala ya se ha pronunciado al respecto, considerando inconstitucionales dichos beneficios. Señala que el artículo 38 produce una injerencia de la Junta de Relaciones Laborales en el ejercicio de la potestad disciplinaria, que va </w:t>
      </w:r>
      <w:proofErr w:type="gramStart"/>
      <w:r w:rsidRPr="00FB2555">
        <w:rPr>
          <w:rFonts w:ascii="Verdana" w:eastAsia="Times New Roman" w:hAnsi="Verdana" w:cs="Times New Roman"/>
          <w:color w:val="000000"/>
          <w:sz w:val="20"/>
          <w:szCs w:val="20"/>
          <w:lang w:eastAsia="es-CR"/>
        </w:rPr>
        <w:t>mas</w:t>
      </w:r>
      <w:proofErr w:type="gramEnd"/>
      <w:r w:rsidRPr="00FB2555">
        <w:rPr>
          <w:rFonts w:ascii="Verdana" w:eastAsia="Times New Roman" w:hAnsi="Verdana" w:cs="Times New Roman"/>
          <w:color w:val="000000"/>
          <w:sz w:val="20"/>
          <w:szCs w:val="20"/>
          <w:lang w:eastAsia="es-CR"/>
        </w:rPr>
        <w:t xml:space="preserve"> allá de sus atribuciones. El contenido de la norma, en el tanto impone una sanción a la entidad patronal si el gerente ratifica un despido en contra del criterio de la Junta, desnaturaliza los fines y atribuciones de dichos órganos, por lo que no se puede afirmar que sus decisiones no son vinculantes y menos recomendativas, por lo que podría afirmarse que la norma es contraria a la Constitución, al perturbar la potestad disciplinara que es competencia exclusiva de la entidad. Concluyen que esta acción de inconstitucionalidad sea acogida respecto de los artículos impugnados con excepción del </w:t>
      </w:r>
      <w:proofErr w:type="gramStart"/>
      <w:r w:rsidRPr="00FB2555">
        <w:rPr>
          <w:rFonts w:ascii="Verdana" w:eastAsia="Times New Roman" w:hAnsi="Verdana" w:cs="Times New Roman"/>
          <w:color w:val="000000"/>
          <w:sz w:val="20"/>
          <w:szCs w:val="20"/>
          <w:lang w:eastAsia="es-CR"/>
        </w:rPr>
        <w:t>numero</w:t>
      </w:r>
      <w:proofErr w:type="gramEnd"/>
      <w:r w:rsidRPr="00FB2555">
        <w:rPr>
          <w:rFonts w:ascii="Verdana" w:eastAsia="Times New Roman" w:hAnsi="Verdana" w:cs="Times New Roman"/>
          <w:color w:val="000000"/>
          <w:sz w:val="20"/>
          <w:szCs w:val="20"/>
          <w:lang w:eastAsia="es-CR"/>
        </w:rPr>
        <w:t xml:space="preserve"> 20 inciso b), párrafos II, VIII, IX y X, 60 y 61, que en su criterio no presentan las violaciones constitucionales acusadas por los accionantes.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7.-</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Rodrigo Cordero Fernández y Edwin Rodríguez Alvarado, ambos en calidad de apoderados generales judiciales sin límite de suma de la Caja Costarricense de Seguro Social contestan a folio 48 la audiencia conferida. Manifiestan que el interés de los accionantes es completamente individualizable, ya que las acciones que reclaman afectarían solo a determinadas personas, específicamente a quienes están obligados al pago de cuotas obreras, por lo tanto no se está frente a la existencia de intereses que atañen a la colectividad en su conjunto, razón por la cual aseguran que los accionantes carecen de legitimación para accionar. Señalan que los trabajadores de la Caja Costarricense de Seguro Social aportan al seguro de salud el cincuenta por ciento de la cuota del trabajador prevista para ese seguro y el otro cincuenta por ciento lo aporta la Caja, de manera que el fondo no sufre ningún menoscabo y el beneficio previsto en esa norma constituye un plus salarial para los trabajadores de dicha institución. Indican que el pago de hasta doce salarios por concepto de cesantía al finalizar la relación laboral por pensión, fallecimiento, reorganización o por falta de fondos, constituye un régimen especial de beneficios fundamentado en el artículo 21 de la Ley Constitutiva. En cuanto a los beneficios referentes a los permisos o licencias, así como el mes extra cuando los tribunales no tutelen un despido emanado de la </w:t>
      </w:r>
      <w:r w:rsidRPr="00FB2555">
        <w:rPr>
          <w:rFonts w:ascii="Verdana" w:eastAsia="Times New Roman" w:hAnsi="Verdana" w:cs="Times New Roman"/>
          <w:color w:val="000000"/>
          <w:sz w:val="20"/>
          <w:szCs w:val="20"/>
          <w:lang w:eastAsia="es-CR"/>
        </w:rPr>
        <w:lastRenderedPageBreak/>
        <w:t xml:space="preserve">administración, todo esto de conformidad con la posibilidad legal de establecer un régimen especial de beneficios para sus funcionarios, en concordancia con su relación de empleo </w:t>
      </w:r>
      <w:proofErr w:type="spellStart"/>
      <w:r w:rsidRPr="00FB2555">
        <w:rPr>
          <w:rFonts w:ascii="Verdana" w:eastAsia="Times New Roman" w:hAnsi="Verdana" w:cs="Times New Roman"/>
          <w:color w:val="000000"/>
          <w:sz w:val="20"/>
          <w:szCs w:val="20"/>
          <w:lang w:eastAsia="es-CR"/>
        </w:rPr>
        <w:t>publico</w:t>
      </w:r>
      <w:proofErr w:type="spellEnd"/>
      <w:r w:rsidRPr="00FB2555">
        <w:rPr>
          <w:rFonts w:ascii="Verdana" w:eastAsia="Times New Roman" w:hAnsi="Verdana" w:cs="Times New Roman"/>
          <w:color w:val="000000"/>
          <w:sz w:val="20"/>
          <w:szCs w:val="20"/>
          <w:lang w:eastAsia="es-CR"/>
        </w:rPr>
        <w:t xml:space="preserve"> y para garantizar un adecuando ambiente laboral, así como la libertad sindical, tales beneficios se otorgan siempre salvaguardando la continuidad y eficiencia del servicio público que se presta. Indican que la mayoría de los beneficios fueron establecidos con anterioridad a la declaratoria del laudo arbitral de mil novecientos ochenta y ocho y todos fueron recogidos en dicho laudo. Aseguran que no existe violación del principio de igualdad, pues el caso de la cotización es igual para todos los trabajadores y la diferencia radica en que la otra mitad la paga la Caja. Aseguran que el problema jurídico está en determinar si la Caja puede, sin quebrantar el ordenamiento jurídico, otorgar a sus trabajadores un beneficio económico de esa naturaleza. Por último, manifiestan que los beneficios para los trabajadores de la Caja se remontan a mil novecientos cuarenta y cinco y que se han incorporado al patrimonio de los trabajadores como un derecho adquirido. Solicitan que se rechace de plano la presente acción de inconstitucionalidad, o en su defecto que se declare sin lugar la misma.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8.-</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Por escrito presentado a la Sala el doce de marzo de dos mil cuatro, Rigoberto Salas Aguilar, secretario general del Sindicato de Profesionales de Ciencias Médicas de la Caja Costarricense de Seguro Social (SIPROCIMECA) se presenta como coadyuvante pasivo. (Folio 62) Indica que el principio de igualdad no tiene carácter absoluto y pueden darse excepciones al mismo sin implicar discriminación ni privilegios, si se cumple con el requisito de que tales beneficios tengan una causa razonable y proporcional. Alega que existe una naturaleza diferente de la relación del trabajador del sector privado respecto del sector público y que aún entre los diferentes sectores integrantes del Estado se producen diferencias que justifican la generación de regulaciones distintas. Indica que el órgano competente para resolver los aspectos atinentes a las cuotas de dicho seguro es la Junta Directiva y que el pago de la Caja del cincuenta por ciento de la cuota del Fondo de Enfermedad y Maternidad obedece a un criterio razonable derivado del artículo 21 de la Ley Constitutiva de la Caja. Estima que de los artículos 73 de la Constitución Política y 21 de la Ley Constitutiva, deriva la existencia de una condición especial que ostentan los trabajadores de la Caja Costarricense de Seguro Social, como es su relación de servicio con la institución, motivo valorado por el legislador de suma importancia a efectos de conceder una autorización legal para establecer a su favor un régimen de beneficios sociales concordantes con los principios del Estado Social de Derecho y la relación de empleo público. Manifiestan que la concesión del beneficio aludido no causa una disminución de los recursos del Fondo de Seguro de Salud, pues la Caja asume su cancelación en su condición de patrono, no afectando en consecuencia el trato a los usuarios ni desmejorándose el servicio. Indica que las normas impugnadas se encuadran dentro de los principios del numeral 73 de la Constitución Política y que además consagran los principios de legalidad, potestad reglamentaria y relación de empleo público. En lo referente a los artículos 60 y 61, indica que el fundamento se encuentra en las disposiciones propias de la libertad sindical y en los Convenios de la Oficina Internacional del Trabajo, debidamente ratificados por nuestro país. Solicitan que se declare sin lugar la acción de inconstitucionalidad.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9.-</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lastRenderedPageBreak/>
        <w:t xml:space="preserve">Mediante escrito recibido en la Secretaría de la Sala el diecisiete de marzo de dos mil cuatro (folio 73), Luis Chavarría Vega, en su condición de secretario general del Sindicato Unión Nacional de Empleados de la Caja y la Seguridad Social (UNDECA) comparece como coadyuvante pasivo en esta acción de inconstitucionalidad. Estima que su interés legítimo deriva en que su organización sindical conformó parte de la Comisión Negociadora </w:t>
      </w:r>
      <w:proofErr w:type="spellStart"/>
      <w:r w:rsidRPr="00FB2555">
        <w:rPr>
          <w:rFonts w:ascii="Verdana" w:eastAsia="Times New Roman" w:hAnsi="Verdana" w:cs="Times New Roman"/>
          <w:color w:val="000000"/>
          <w:sz w:val="20"/>
          <w:szCs w:val="20"/>
          <w:lang w:eastAsia="es-CR"/>
        </w:rPr>
        <w:t>Intersindical</w:t>
      </w:r>
      <w:proofErr w:type="spellEnd"/>
      <w:r w:rsidRPr="00FB2555">
        <w:rPr>
          <w:rFonts w:ascii="Verdana" w:eastAsia="Times New Roman" w:hAnsi="Verdana" w:cs="Times New Roman"/>
          <w:color w:val="000000"/>
          <w:sz w:val="20"/>
          <w:szCs w:val="20"/>
          <w:lang w:eastAsia="es-CR"/>
        </w:rPr>
        <w:t xml:space="preserve"> que en mil novecientos noventa y cuatro discutió y negoció la normativa de relaciones laborales, donde se encuentran las normas impugnadas y también porque en su condición de empleados de la Caja, los artículos impugnados afectan directamente a los afiliados y a la organización misma. Indica que ninguno de los argumentos jurídicos dados por los recurrentes demuestra la existencia la inconstitucionalidad en las normas impugnadas, sino que desconocen los alcances y la aplicación de la normativa internacional con un rango superior a la que no hacen mención en el recurso, así como al alcance constitucional que tiene la autonomía de la institución e impugnan disposiciones que han estado vigentes, algunas por </w:t>
      </w:r>
      <w:proofErr w:type="spellStart"/>
      <w:r w:rsidRPr="00FB2555">
        <w:rPr>
          <w:rFonts w:ascii="Verdana" w:eastAsia="Times New Roman" w:hAnsi="Verdana" w:cs="Times New Roman"/>
          <w:color w:val="000000"/>
          <w:sz w:val="20"/>
          <w:szCs w:val="20"/>
          <w:lang w:eastAsia="es-CR"/>
        </w:rPr>
        <w:t>mas</w:t>
      </w:r>
      <w:proofErr w:type="spellEnd"/>
      <w:r w:rsidRPr="00FB2555">
        <w:rPr>
          <w:rFonts w:ascii="Verdana" w:eastAsia="Times New Roman" w:hAnsi="Verdana" w:cs="Times New Roman"/>
          <w:color w:val="000000"/>
          <w:sz w:val="20"/>
          <w:szCs w:val="20"/>
          <w:lang w:eastAsia="es-CR"/>
        </w:rPr>
        <w:t xml:space="preserve"> de cincuenta años, que no son desproporcionadas ni irracionales; no crean desigualdades, sino que procuran la paz social, cumpliendo el principio de solidaridad y justicia social. Alega que cada una de las disposiciones se encontraba vigente en el laudo arbitral de mil novecientos ochenta y seis y que dejó de regir a partir de mil novecientos noventa y cuatro. A raíz de ello se emitió un nuevo Reglamento en 1993 y en 1998 la Normativa de Relaciones Laborales. Asegura que existen normas similares que regulan otros regímenes de empleo público, por lo que no se puede decir que esos sean privilegios exclusivos de los funcionarios; alega además que cada una de las normas es de espectro limitado e impide el abuso por parte de los funcionarios que disfruten de ellas. Señala que las normas que garantizan el otorgamiento de licencias y permisos para realizar la actividad sindical provienen del desarrollo de la libertad sindical y que ese ejercicio lleva implícito una serie de garantías y facilidades sin las cuales resulta imposible su ejercicio. En cuanto a la compensación de la cuota de enfermedad y maternidad, alega que no afecta los intereses de los otros asegurados ni la estabilidad del Régimen del Seguro de Enfermedad y Maternidad, por lo que no se puede afirmar que violente el principio de igualdad constitucional. Manifiesta que el pago del auxilio de cesantía proviene del laudo arbitral, e indica que es uno de los institutos propios del derecho laboral, que como norma mínima ha sufrido más modificaciones en su regulación. Señala que el artículo 29 del Código de Trabajo define el tope en ocho meses, pero que nada impide que se reconozca un pago superior. Alega que el salario extra como indemnización no es un privilegio, pues es solo un mínimo legal de aplicación supletoria en el caso de la Caja, al ser de carácter supletorio, es superable por otras normas que encuentran fundamento constitucional en la autonomía que tiene la Caja y en la potestad reglamentaria en materia de salario y empleo que da el mismo ordenamiento jurídico. Solicita que se les tenga como </w:t>
      </w:r>
      <w:proofErr w:type="spellStart"/>
      <w:r w:rsidRPr="00FB2555">
        <w:rPr>
          <w:rFonts w:ascii="Verdana" w:eastAsia="Times New Roman" w:hAnsi="Verdana" w:cs="Times New Roman"/>
          <w:color w:val="000000"/>
          <w:sz w:val="20"/>
          <w:szCs w:val="20"/>
          <w:lang w:eastAsia="es-CR"/>
        </w:rPr>
        <w:t>coadyudantes</w:t>
      </w:r>
      <w:proofErr w:type="spellEnd"/>
      <w:r w:rsidRPr="00FB2555">
        <w:rPr>
          <w:rFonts w:ascii="Verdana" w:eastAsia="Times New Roman" w:hAnsi="Verdana" w:cs="Times New Roman"/>
          <w:color w:val="000000"/>
          <w:sz w:val="20"/>
          <w:szCs w:val="20"/>
          <w:lang w:eastAsia="es-CR"/>
        </w:rPr>
        <w:t xml:space="preserve"> en este proceso y que se declare sin lugar en todos los extremos la acción de inconstitucionalidad.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10.-</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Los edictos a que se refiere el párrafo segundo del artículo 81 de la Ley de la Jurisdicción Constitucional fueron publicados en los números 040, 041 y 042 del Boletín Judicial, de los días veintiséis y veintisiete de febrero y primero de marzo de dos mil cuatro. (Folio 26)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11.-</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lastRenderedPageBreak/>
        <w:t xml:space="preserve">La audiencia oral y pública prevista en los artículos 10 y 85 de la Ley de la Jurisdicción Constitucional no se celebró, por considerar esta Sala que los elementos de juicio contenidos en el expediente son suficientes para la resolución del presente asunto.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12.-</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En los procedimientos seguidos han sido observadas las prescripciones de Ley.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Redacta el Magistrado </w:t>
      </w:r>
      <w:r w:rsidRPr="00FB2555">
        <w:rPr>
          <w:rFonts w:ascii="Verdana" w:eastAsia="Times New Roman" w:hAnsi="Verdana" w:cs="Times New Roman"/>
          <w:b/>
          <w:bCs/>
          <w:color w:val="000000"/>
          <w:sz w:val="20"/>
          <w:szCs w:val="20"/>
          <w:lang w:eastAsia="es-CR"/>
        </w:rPr>
        <w:t>Vargas Benavides</w:t>
      </w:r>
      <w:r w:rsidRPr="00FB2555">
        <w:rPr>
          <w:rFonts w:ascii="Verdana" w:eastAsia="Times New Roman" w:hAnsi="Verdana" w:cs="Times New Roman"/>
          <w:color w:val="000000"/>
          <w:sz w:val="20"/>
          <w:szCs w:val="20"/>
          <w:lang w:eastAsia="es-CR"/>
        </w:rPr>
        <w:t xml:space="preserve">; y, </w:t>
      </w:r>
    </w:p>
    <w:p w:rsidR="00A65DB7" w:rsidRPr="00FB2555" w:rsidRDefault="00A65DB7" w:rsidP="00A65DB7">
      <w:pPr>
        <w:spacing w:before="100" w:beforeAutospacing="1" w:after="100" w:afterAutospacing="1" w:line="240" w:lineRule="auto"/>
        <w:jc w:val="center"/>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Considerando:</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I.-</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Las reglas de legitimación en las acciones de inconstitucionalidad.</w:t>
      </w:r>
      <w:r w:rsidRPr="00FB2555">
        <w:rPr>
          <w:rFonts w:ascii="Verdana" w:eastAsia="Times New Roman" w:hAnsi="Verdana" w:cs="Times New Roman"/>
          <w:color w:val="000000"/>
          <w:sz w:val="20"/>
          <w:szCs w:val="20"/>
          <w:lang w:eastAsia="es-CR"/>
        </w:rPr>
        <w:t xml:space="preserve"> El artículo 75 de la Ley de la Jurisdicción Constitucional regula los presupuestos que determinan la admisibilidad de las acciones de inconstitucionalidad, exigiendo la existencia de un asunto pendiente de resolver en sede administrativa o judicial en el que se invoque la inconstitucionalidad, requisito que no es necesario en los casos previstos en los párrafos segundo y tercero de ese artículo, es decir, cuando por la naturaleza de la norma no haya lesión individual o directa; cuando se fundamente en la defensa de intereses difusos o que atañen a la colectividad en su conjunto, o cuando sea presentada por el Procurador General de la República, el Contralor General de la República, el Fiscal General de la República o el Defensor de los Habitantes, en estos últimos casos, dentro de sus respectivas esferas competenciales. De acuerdo con el primero de los supuestos previstos por el párrafo 2° del artículo 75 de la Ley de la Jurisdicción Constitucional, la norma cuestionada no debe ser susceptible de aplicación concreta, que permita luego la impugnación del acto aplicativo y su consecuente empleo como asunto base. Dispone el texto en cuestión que procede cuando "por la naturaleza del asunto, no exista lesión individual ni directa", es decir, cuando por esa misma naturaleza, la lesión sea colectiva (antónimo de individual) e indirecta. Sería el caso de actos que lesionen los intereses de determinados grupos o corporaciones en cuanto tales, y no propiamente de sus miembros en forma directa. En segundo lugar, se prevé la posibilidad de acudir en defensa de "intereses difusos"; este concepto, cuyo contenido ha ido siendo delineado paulatinamente por parte de la Sala, podría ser resumido en los términos empleados en la sentencia de este tribunal número 3750-93, de las quince horas del treinta de julio de mil novecientos noventa y tres)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 Los intereses difusos, aunque de difícil definición y más difícil identificación, no pueden ser en nuestra ley -como ya lo ha dicho esta Sala- los intereses meramente colectivos; ni tan difusos que su titularidad se confunda con la de la comunidad nacional como un todo, ni tan concretos que frente a ellos resulten identificados o fácilmente identificables personas determinadas, o grupos personalizados, cuya legitimación derivaría, no de los intereses difusos, sino de los corporativos que atañen a una comunidad en su conjunto. Se trata entonces de intereses individuales, pero a la vez, diluidos en conjuntos más o menos extensos y amorfos de personas que comparten un interés y, por ende reciben un perjuicio, actual o potencial, más o menos igual para todos, por lo que con acierto se dice que se trata de intereses iguales de los conjuntos que se encuentran en determinadas circunstancias y, a la vez, de cada una de ellas. Es decir, los intereses difusos participan de una doble naturaleza, ya que son a la vez colectivos -por ser comunes a una generalidad- e individuales, por lo que pueden ser reclamados en tal carácter"</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lastRenderedPageBreak/>
        <w:t xml:space="preserve">En síntesis, los intereses difusos son aquellos cuya titularidad pertenece a grupos de personas no organizadas formalmente, pero unidas a partir de una determinada necesidad social, una característica física, su origen étnico, una determinada orientación personal o ideológica, el consumo de un cierto producto, etc. El interés, en estos casos, se encuentra difuminado, diluido (difuso) entre una pluralidad no identificada de sujetos. En estos casos, claro, la impugnación que el miembro de uno de estos sectores podría efectuar amparado en el párrafo 2° del artículo 75, deberá estar referida necesariamente a disposiciones que lo afecten en cuanto tal. Esta Sala ha enumerado diversos derechos a los que les ha dado el calificativo de "difusos", tales como el medio ambiente, el patrimonio cultural, la defensa de la integridad territorial del país y del buen manejo del gasto público, entre otros. Al respecto deben ser efectuadas dos precisiones: por un lado, los referidos bienes trascienden la esfera tradicionalmente reconocida a los intereses difusos, ya que se refieren en principio a aspectos que afectan a la colectividad nacional y no a grupos particulares de ésta; un daño ambiental no afecta apenas a los vecinos de una región o a los consumidores de un producto, sino que lesiona o pone en grave riesgo el patrimonio natural de todo el país e incluso de la Humanidad; del mismo modo, la defensa del buen manejo que se haga de los fondos públicos autorizados en el Presupuesto de la República es un interés de todos los habitantes de Costa Rica, no tan solo de un grupo cualquiera de ellos. Por otra parte, la enumeración que ha hecho la Sala Constitucional no pasa de una simple descripción propia de su obligación –como órgano jurisdiccional- de limitarse a conocer de los casos que le son sometidos, sin que pueda de ninguna manera llegar a entenderse que solo pueden ser considerados derechos difusos aquellos que la Sala expresamente haya reconocido como tales; lo anterior implicaría dar un vuelco indeseable en los alcances del Estado de Derecho, y de su correlativo "Estado de derechos", que –como en el caso del modelo costarricense- parte de la premisa de que lo que debe ser expreso son los límites a las libertades, ya que éstas subyacen a la misma condición humana y no requieren por ende de reconocimiento oficial. Finalmente, cuando el párrafo 2° del artículo 75 de la Ley de la Jurisdicción Constitucional habla de intereses "que atañen a la colectividad en su conjunto", se refiere a los bienes jurídicos explicados en las líneas anteriores, es decir, aquellos cuya titularidad reposa en los mismos detentadores de la soberanía, en cada uno de los habitantes de la República. No se trata por ende de que cualquier persona pueda acudir a la Sala Constitucional en tutela de cualesquiera intereses (acción popular), sino que todo individuo puede actuar en defensa de aquellos bienes que afectan a toda la colectividad nacional, sin que tampoco en este campo sea válido ensayar cualquier intento de enumeración taxativa.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II.-</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 xml:space="preserve">La legitimación de los accionantes en este </w:t>
      </w:r>
      <w:proofErr w:type="gramStart"/>
      <w:r w:rsidRPr="00FB2555">
        <w:rPr>
          <w:rFonts w:ascii="Verdana" w:eastAsia="Times New Roman" w:hAnsi="Verdana" w:cs="Times New Roman"/>
          <w:b/>
          <w:bCs/>
          <w:color w:val="000000"/>
          <w:sz w:val="20"/>
          <w:szCs w:val="20"/>
          <w:lang w:eastAsia="es-CR"/>
        </w:rPr>
        <w:t>caso</w:t>
      </w:r>
      <w:r w:rsidRPr="00FB2555">
        <w:rPr>
          <w:rFonts w:ascii="Verdana" w:eastAsia="Times New Roman" w:hAnsi="Verdana" w:cs="Times New Roman"/>
          <w:color w:val="000000"/>
          <w:sz w:val="20"/>
          <w:szCs w:val="20"/>
          <w:lang w:eastAsia="es-CR"/>
        </w:rPr>
        <w:t xml:space="preserve"> .</w:t>
      </w:r>
      <w:proofErr w:type="gramEnd"/>
      <w:r w:rsidRPr="00FB2555">
        <w:rPr>
          <w:rFonts w:ascii="Verdana" w:eastAsia="Times New Roman" w:hAnsi="Verdana" w:cs="Times New Roman"/>
          <w:color w:val="000000"/>
          <w:sz w:val="20"/>
          <w:szCs w:val="20"/>
          <w:lang w:eastAsia="es-CR"/>
        </w:rPr>
        <w:t xml:space="preserve"> A partir de lo dicho en el párrafo anterior, es claro que los actores ostentan legitimación suficiente para demandar la inconstitucionalidad de las normas impugnadas, sin que para ello resulte necesario que cuenten con un asunto previo que les sirva de base a esta acción. Lo anterior no porque se trate de diputados de la Asamblea Legislativa, sino porque acuden en defensa de un interés que atañe a la colectividad nacional en su conjunto, como lo es el buen manejo de los fondos públicos, que a su juicio están siendo mal empleados por parte de un ente público como es la Caja Costarricense de Seguro Social. Precisamente por estar en juego el manejo que se haga de fondos públicos, y la incidencia del </w:t>
      </w:r>
      <w:proofErr w:type="spellStart"/>
      <w:r w:rsidRPr="00FB2555">
        <w:rPr>
          <w:rFonts w:ascii="Verdana" w:eastAsia="Times New Roman" w:hAnsi="Verdana" w:cs="Times New Roman"/>
          <w:color w:val="000000"/>
          <w:sz w:val="20"/>
          <w:szCs w:val="20"/>
          <w:lang w:eastAsia="es-CR"/>
        </w:rPr>
        <w:t>tal</w:t>
      </w:r>
      <w:proofErr w:type="spellEnd"/>
      <w:r w:rsidRPr="00FB2555">
        <w:rPr>
          <w:rFonts w:ascii="Verdana" w:eastAsia="Times New Roman" w:hAnsi="Verdana" w:cs="Times New Roman"/>
          <w:color w:val="000000"/>
          <w:sz w:val="20"/>
          <w:szCs w:val="20"/>
          <w:lang w:eastAsia="es-CR"/>
        </w:rPr>
        <w:t xml:space="preserve"> manejo en la prestación de servicios públicos de capital importancia, como son los relativos a la seguridad social, es que esta Sala entiende que estamos ante una acción que pretende la tutela de intereses que atañen a la colectividad nacional en su conjunto, por lo que los actores se encuentran perfectamente legitimados para </w:t>
      </w:r>
      <w:r w:rsidRPr="00FB2555">
        <w:rPr>
          <w:rFonts w:ascii="Verdana" w:eastAsia="Times New Roman" w:hAnsi="Verdana" w:cs="Times New Roman"/>
          <w:color w:val="000000"/>
          <w:sz w:val="20"/>
          <w:szCs w:val="20"/>
          <w:lang w:eastAsia="es-CR"/>
        </w:rPr>
        <w:lastRenderedPageBreak/>
        <w:t xml:space="preserve">accionar en forma directa, a la luz de lo que dispone el párrafo 2° del artículo 75 de la Ley de la Jurisdicción Constitucional.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III.-</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Otros aspectos de admisibilidad.</w:t>
      </w:r>
      <w:r w:rsidRPr="00FB2555">
        <w:rPr>
          <w:rFonts w:ascii="Verdana" w:eastAsia="Times New Roman" w:hAnsi="Verdana" w:cs="Times New Roman"/>
          <w:color w:val="000000"/>
          <w:sz w:val="20"/>
          <w:szCs w:val="20"/>
          <w:lang w:eastAsia="es-CR"/>
        </w:rPr>
        <w:t xml:space="preserve"> Estando claro que los actores cuentan con legitimación suficiente para promover esta demanda en los términos dichos, resta indicar que las actuaciones impugnadas están entre las previstas en el artículo 73 inciso a) de la Ley de la Jurisdicción Constitucional, por tratarse un acto público de carácter general (varios artículos del Reglamento “Normativa de Relaciones Laborales” emitido por la Junta Directiva de la Caja Costarricense de Seguro Social. Se trata, en efecto, de materia cuya constitucionalidad procede revisar en esta vía. Además, los actores presentaron su escrito inicial en atención de los requisitos estipulados en los numerales 78 y 79 de la Ley de rito. En conclusión, la presente acción es admisible, por lo que debe entrarse de inmediato a discutir el objeto y el fondo de la misma.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IV.-</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 xml:space="preserve">Acerca de las </w:t>
      </w:r>
      <w:proofErr w:type="spellStart"/>
      <w:r w:rsidRPr="00FB2555">
        <w:rPr>
          <w:rFonts w:ascii="Verdana" w:eastAsia="Times New Roman" w:hAnsi="Verdana" w:cs="Times New Roman"/>
          <w:b/>
          <w:bCs/>
          <w:color w:val="000000"/>
          <w:sz w:val="20"/>
          <w:szCs w:val="20"/>
          <w:lang w:eastAsia="es-CR"/>
        </w:rPr>
        <w:t>coadyuvancias</w:t>
      </w:r>
      <w:proofErr w:type="spellEnd"/>
      <w:r w:rsidRPr="00FB2555">
        <w:rPr>
          <w:rFonts w:ascii="Verdana" w:eastAsia="Times New Roman" w:hAnsi="Verdana" w:cs="Times New Roman"/>
          <w:b/>
          <w:bCs/>
          <w:color w:val="000000"/>
          <w:sz w:val="20"/>
          <w:szCs w:val="20"/>
          <w:lang w:eastAsia="es-CR"/>
        </w:rPr>
        <w:t xml:space="preserve">. </w:t>
      </w:r>
      <w:r w:rsidRPr="00FB2555">
        <w:rPr>
          <w:rFonts w:ascii="Verdana" w:eastAsia="Times New Roman" w:hAnsi="Verdana" w:cs="Times New Roman"/>
          <w:color w:val="000000"/>
          <w:sz w:val="20"/>
          <w:szCs w:val="20"/>
          <w:lang w:eastAsia="es-CR"/>
        </w:rPr>
        <w:t xml:space="preserve">El artículo 83 de la Ley de la Jurisdicción Constitucional establece que en los quince días posteriores a la primera publicación del aviso a que alude el párrafo segundo del artículo 81, las partes que figuren con asuntos pendientes a la fecha de interposición de la acción, o aquellos que cuenten con un interés legítimo en la definición del objeto en disputa, podrán apersonarse para coadyuvar con cualquiera de las dos posiciones objeto de la discusión, en el caso de las acciones de inconstitucionalidad, básicamente el coadyuvante acude a defender la pretensión anulatoria del actor o a respaldar la validez del acto impugnado. En este caso, las gestiones de </w:t>
      </w:r>
      <w:proofErr w:type="spellStart"/>
      <w:r w:rsidRPr="00FB2555">
        <w:rPr>
          <w:rFonts w:ascii="Verdana" w:eastAsia="Times New Roman" w:hAnsi="Verdana" w:cs="Times New Roman"/>
          <w:color w:val="000000"/>
          <w:sz w:val="20"/>
          <w:szCs w:val="20"/>
          <w:lang w:eastAsia="es-CR"/>
        </w:rPr>
        <w:t>coadyuvancia</w:t>
      </w:r>
      <w:proofErr w:type="spellEnd"/>
      <w:r w:rsidRPr="00FB2555">
        <w:rPr>
          <w:rFonts w:ascii="Verdana" w:eastAsia="Times New Roman" w:hAnsi="Verdana" w:cs="Times New Roman"/>
          <w:color w:val="000000"/>
          <w:sz w:val="20"/>
          <w:szCs w:val="20"/>
          <w:lang w:eastAsia="es-CR"/>
        </w:rPr>
        <w:t xml:space="preserve"> pasiva planteadas por los representantes del Sindicato de Profesionales de Ciencias Médicas de la Caja Costarricense de Seguro Social (SIPROCIMECA) y del Sindicato Unión Nacional de Empleados de la Caja y la Seguridad Social (UNDECA), fueron presentadas dentro del plazo establecido en el numeral 83 citado. Además, dichas entidades acuden en defensa de intereses legítimos, pues en efecto las normas impugnadas confieren beneficios a las categorías de trabajadores por ellas representadas, de modo que la decisión que se tome en este proceso incidirá necesariamente en la condición de sus agremiados. Por estas razones, las dos solicitudes de </w:t>
      </w:r>
      <w:proofErr w:type="spellStart"/>
      <w:r w:rsidRPr="00FB2555">
        <w:rPr>
          <w:rFonts w:ascii="Verdana" w:eastAsia="Times New Roman" w:hAnsi="Verdana" w:cs="Times New Roman"/>
          <w:color w:val="000000"/>
          <w:sz w:val="20"/>
          <w:szCs w:val="20"/>
          <w:lang w:eastAsia="es-CR"/>
        </w:rPr>
        <w:t>coadyuvancia</w:t>
      </w:r>
      <w:proofErr w:type="spellEnd"/>
      <w:r w:rsidRPr="00FB2555">
        <w:rPr>
          <w:rFonts w:ascii="Verdana" w:eastAsia="Times New Roman" w:hAnsi="Verdana" w:cs="Times New Roman"/>
          <w:color w:val="000000"/>
          <w:sz w:val="20"/>
          <w:szCs w:val="20"/>
          <w:lang w:eastAsia="es-CR"/>
        </w:rPr>
        <w:t xml:space="preserve"> deben ser admitidas para analizar el fondo de sus alegatos.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V.-</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Objeto de la acción.</w:t>
      </w:r>
      <w:r w:rsidRPr="00FB2555">
        <w:rPr>
          <w:rFonts w:ascii="Verdana" w:eastAsia="Times New Roman" w:hAnsi="Verdana" w:cs="Times New Roman"/>
          <w:color w:val="000000"/>
          <w:sz w:val="20"/>
          <w:szCs w:val="20"/>
          <w:lang w:eastAsia="es-CR"/>
        </w:rPr>
        <w:t xml:space="preserve"> Esta acción de inconstitucionalidad está dirigida a atacar la validez de los artículos 20 inciso b), párrafos II, VIII, IX y X; 21, 38, 48, 60 y 61, todos del Reglamento denominado “Normativa de Relaciones Laborales” emitido por la Junta Directiva de la Caja Costarricense de Seguro Social, aprobado por la Junta Directiva de la Caja Costarricense de Seguro Social en sesiones números 7217 y 7234 de veintitrés de mayo y treinta de junio, ambos de mil novecientos noventa y ocho, artículos 23 y 1°, respectivamente, publicado en La Gaceta número 137 de dieciséis de julio de mil novecientos noventa y ocho. A juicio de los actores, las referidas normas son contrarias a los artículos 11, 33 y 191 de la Constitución Política, así como a los principios constitucionales de razonabilidad y proporcionalidad. De seguido, la Sala entrará a analizar la validez de las disposiciones impugnadas en orden de los temas traídos a colación por los demandantes.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lastRenderedPageBreak/>
        <w:t>Sobre el fondo.</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VI.-</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 xml:space="preserve">De previo. </w:t>
      </w:r>
      <w:r w:rsidRPr="00FB2555">
        <w:rPr>
          <w:rFonts w:ascii="Verdana" w:eastAsia="Times New Roman" w:hAnsi="Verdana" w:cs="Times New Roman"/>
          <w:color w:val="000000"/>
          <w:sz w:val="20"/>
          <w:szCs w:val="20"/>
          <w:lang w:eastAsia="es-CR"/>
        </w:rPr>
        <w:t xml:space="preserve">Antes de entrar al análisis particular de las normas impugnadas en esta acción, deben ser efectuadas algunas observaciones concernientes a ciertos argumentos de los demandantes que atañan a la totalidad de las disposiciones impugnadas. Básicamente, cabe determinar si la acusada incorporación en la “Normativa de Relaciones Laborales”, por parte de la Junta Directiva de la Caja Costarricense de Seguro Social, de aspectos originalmente regulados a partir de laudos arbitrales, constituye como alegan los actores, una violación a lo que dispone el artículo 191 de la Constitución Política, y una “burla” a la jurisprudencia constitucional. Dicho numeral dispone que “Un estatuto de servicio civil regulará las relaciones entre el Estado y los servidores públicos, con el propósito de garantizar la eficiencia de la administración.” En aplicación de la norma citada, la Sala Constitucional, en sentencia número 1696-92, de las quince horas con treinta minutos del veintitrés de agosto de mil novecientos noventa y dos, dispuso lo siguiente: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“VI Por lo anterior, la intervención de los Tribunales de Trabajo, con el procedimiento de arbitraje obligatorio para los servicios públicos, en los términos de los artículos del Código de Trabajo impugnados, tuvo origen en otro orden constitucional pues dicho cuerpo de normas data de 1943 y bajo otras necesidades, sin que existiera -en ese momento- la concepción constitucional de un régimen laboral público, exclusivo para los servidores del Estado, a fin de regular y dirimir las diversas situaciones que afectan esa relación. Rige actualmente una Constitución Política que sí lo previó y que, no obstante ello, se sigue utilizando un orden legal común, sometiéndose a la Administración Pública y sus empleados, a la resolución de sus diferencias mediante un procedimiento de índole privado. Esto resulta en una aplicación inconstitucional en virtud del desfase histórico y jurídico que esta materia evidencia, lo que contraviene tácitamente el artículo 197 de la Constitución Política. Es claro que la intención del constituyente era la de crear un régimen laboral administrativo. De la lectura de las actas de la Asamblea Nacional Constituyente se distingue la figura del empleado público y del trabajador privado. Es indudable que la ausencia de un régimen jurídico que regule apropiadamente las relaciones entre el Estado y sus servidores, quebranta el artículo 191 de la Constitución Política, lo que conlleva también al quebrantamiento del artículo 11 de la Carta Magna pues,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 xml:space="preserve">VII Por una parte, la Ley que se emitió (Estatuto del Servicio Civil) tiene alcances parciales, ya que la iniciativa tomada por el Poder Ejecutivo al respecto solamente tuvo como propósito regular las relaciones con sus servidores, esto es, dentro de su ámbito competencial. Desde este ángulo de enfoque, se ha dejado por fuera la regulación de las relaciones de servicio entre los entes públicos menores, pues era algo en lo que no tenía interés el Ejecutivo, o simplemente no era lo que consideraba más urgente. Por otra parte, el Estatuto del Servicio Civil reguló apenas algunos de los aspectos de la relación de los servidores con el Estado como los relativos a derechos, deberes de los servidores, su selección, clasificación, promoción, traslados, disciplina y régimen de despido -entre los más importantes-, que evidentemente atañen a una de las preocupaciones expresadas en la Asamblea Nacional Constituyente, esto es, la que tiene relación con la idoneidad y la eficiencia del servicio, pero no tocó otros aspectos no menos importantes, como es el que subyace en el planteamiento de esta acción, es </w:t>
      </w:r>
      <w:r w:rsidRPr="00FB2555">
        <w:rPr>
          <w:rFonts w:ascii="Verdana" w:eastAsia="Times New Roman" w:hAnsi="Verdana" w:cs="Times New Roman"/>
          <w:i/>
          <w:iCs/>
          <w:color w:val="000000"/>
          <w:sz w:val="20"/>
          <w:szCs w:val="20"/>
          <w:lang w:eastAsia="es-CR"/>
        </w:rPr>
        <w:lastRenderedPageBreak/>
        <w:t>decir, la regulación del propio régimen económico de esa relación y el sometimiento de los otros entes administrativos al régimen laboral público. Este vacío, sin embargo, no autoriza utilizar mecanismos previstos para una relación privada, a una relación de empleo público que se debe regir por principios propios y diferentes.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i/>
          <w:iCs/>
          <w:color w:val="000000"/>
          <w:sz w:val="20"/>
          <w:szCs w:val="20"/>
          <w:lang w:eastAsia="es-CR"/>
        </w:rPr>
      </w:pPr>
      <w:r w:rsidRPr="00FB2555">
        <w:rPr>
          <w:rFonts w:ascii="Verdana" w:eastAsia="Times New Roman" w:hAnsi="Verdana" w:cs="Times New Roman"/>
          <w:i/>
          <w:iCs/>
          <w:color w:val="000000"/>
          <w:sz w:val="20"/>
          <w:szCs w:val="20"/>
          <w:lang w:eastAsia="es-CR"/>
        </w:rPr>
        <w:t>VIII No duda la Sala en señalar la existencia de un distinto ordenamiento jurídico a partir de 1949, no obstante que en muchos temas se dio reiteración de lo que a la fecha había venido rigiendo, porque a pesar de la parca redacción del artículo 191 y del Transitorio al artículo 140, inciso 2), ambos de la Constitución Política, el examen de las discusiones de esas normas nos permiten establecer que existe un mandato y no simple recomendación para aplicar a esa relación de empleo entre la administración pública y sus servidores, criterios propios o especiales. Conforme al transitorio de reiterada cita, debía la Asamblea Legislativa promulgar dentro del término del 8 de noviembre de mil novecientos cincuenta al 1 de junio de mil novecientos cincuenta y tres, la Ley de Servicio Civil que tendría como característica principal su aplicación paulatina en las oficinas de distinta naturaleza de la Administración Pública, lo cual -con evidencia- no fue cumplido a cabalidad, pero en todo caso, debe quedar claro que la confusión existente en la Asamblea Nacional Constituyente de utilizar y mencionar el Código de Trabajo en la Constitución lo era para establecer, de alguna forma, un parámetro normativo que rigiera el fin de la relación de trabajo y no como se ha querido entender, que sus principios y normas inspiran y rigen la relación entre el Estado y el servidor público.-</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 xml:space="preserve">XII Se debe formular, eso sí, una declaración respecto de los alcances de esta sentencia, ya que el artículo 91 de la Ley de la Jurisdicción Constitucional sienta el principio de que la nulidad es declarativa y retroactiva a la fecha de la norma anulada, en el caso concreto, dada la particular circunstancia de que se está declarando una inconstitucionalidad por aplicación inconstitucional de cierta normativa, lo propio es tener como válido lo actuado y resuelto en firme hasta la fecha, por virtud del principio de la buena fe, de la seguridad jurídica y la misma cosa juzgada, que derivan en derechos adquiridos para determinados grupos y sujetos, de modo que esta sentencia surta efectos hacia el futuro. Igualmente considera necesario la Sala, hacer la aclaración de tener por excluidos de este régimen, a los obreros, trabajadores y empleados que no participan de la gestión pública de la Administración, cuando los mismos sean contratados por el Estado conforme al ejercicio de su capacidad de Derecho Privado (artículos 3.2 y 112.2 y .3 de la Ley General de la Administración Pública). Esta sentencia implica, asimismo, que los procedimientos "de resolución de los conflictos colectivos de carácter económico y social", previstos en los artículos 497 y siguientes del Código de Trabajo, no son aplicables del todo a las administraciones regidas por el derecho público de empleo, y que no son aplicables al resto de las administraciones, incluidas las empresas públicas-sociedades anónimas, mientras por ley no se subsanen las omisiones apuntadas en esta sentencia. Dado que dichos procedimientos contemplan no solo los laudos, propiamente (artículos 519 </w:t>
      </w:r>
      <w:proofErr w:type="spellStart"/>
      <w:r w:rsidRPr="00FB2555">
        <w:rPr>
          <w:rFonts w:ascii="Verdana" w:eastAsia="Times New Roman" w:hAnsi="Verdana" w:cs="Times New Roman"/>
          <w:i/>
          <w:iCs/>
          <w:color w:val="000000"/>
          <w:sz w:val="20"/>
          <w:szCs w:val="20"/>
          <w:lang w:eastAsia="es-CR"/>
        </w:rPr>
        <w:t>ss</w:t>
      </w:r>
      <w:proofErr w:type="spellEnd"/>
      <w:r w:rsidRPr="00FB2555">
        <w:rPr>
          <w:rFonts w:ascii="Verdana" w:eastAsia="Times New Roman" w:hAnsi="Verdana" w:cs="Times New Roman"/>
          <w:i/>
          <w:iCs/>
          <w:color w:val="000000"/>
          <w:sz w:val="20"/>
          <w:szCs w:val="20"/>
          <w:lang w:eastAsia="es-CR"/>
        </w:rPr>
        <w:t xml:space="preserve">), sino también los arreglos directos (artículo 497 </w:t>
      </w:r>
      <w:proofErr w:type="spellStart"/>
      <w:r w:rsidRPr="00FB2555">
        <w:rPr>
          <w:rFonts w:ascii="Verdana" w:eastAsia="Times New Roman" w:hAnsi="Verdana" w:cs="Times New Roman"/>
          <w:i/>
          <w:iCs/>
          <w:color w:val="000000"/>
          <w:sz w:val="20"/>
          <w:szCs w:val="20"/>
          <w:lang w:eastAsia="es-CR"/>
        </w:rPr>
        <w:t>ss</w:t>
      </w:r>
      <w:proofErr w:type="spellEnd"/>
      <w:r w:rsidRPr="00FB2555">
        <w:rPr>
          <w:rFonts w:ascii="Verdana" w:eastAsia="Times New Roman" w:hAnsi="Verdana" w:cs="Times New Roman"/>
          <w:i/>
          <w:iCs/>
          <w:color w:val="000000"/>
          <w:sz w:val="20"/>
          <w:szCs w:val="20"/>
          <w:lang w:eastAsia="es-CR"/>
        </w:rPr>
        <w:t xml:space="preserve">) y las conciliaciones (artículos 500 </w:t>
      </w:r>
      <w:proofErr w:type="spellStart"/>
      <w:r w:rsidRPr="00FB2555">
        <w:rPr>
          <w:rFonts w:ascii="Verdana" w:eastAsia="Times New Roman" w:hAnsi="Verdana" w:cs="Times New Roman"/>
          <w:i/>
          <w:iCs/>
          <w:color w:val="000000"/>
          <w:sz w:val="20"/>
          <w:szCs w:val="20"/>
          <w:lang w:eastAsia="es-CR"/>
        </w:rPr>
        <w:t>ss</w:t>
      </w:r>
      <w:proofErr w:type="spellEnd"/>
      <w:r w:rsidRPr="00FB2555">
        <w:rPr>
          <w:rFonts w:ascii="Verdana" w:eastAsia="Times New Roman" w:hAnsi="Verdana" w:cs="Times New Roman"/>
          <w:i/>
          <w:iCs/>
          <w:color w:val="000000"/>
          <w:sz w:val="20"/>
          <w:szCs w:val="20"/>
          <w:lang w:eastAsia="es-CR"/>
        </w:rPr>
        <w:t>), todos estos instrumentos debe entenderse que vencen en el plazo fijado por ellos. Queda claro por otra parte, que todos los procedimientos pendientes con motivo de esta acción de inconstitucionalidad, deberán tenerse por terminados y ser archivados.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Siguiendo la misma línea de raciocinio, la sentencia número 2000-04453, de las catorce horas cincuenta y seis minutos del veinticuatro de mayo del dos mil, en </w:t>
      </w:r>
      <w:r w:rsidRPr="00FB2555">
        <w:rPr>
          <w:rFonts w:ascii="Verdana" w:eastAsia="Times New Roman" w:hAnsi="Verdana" w:cs="Times New Roman"/>
          <w:color w:val="000000"/>
          <w:sz w:val="20"/>
          <w:szCs w:val="20"/>
          <w:lang w:eastAsia="es-CR"/>
        </w:rPr>
        <w:lastRenderedPageBreak/>
        <w:t xml:space="preserve">relación con la constitucionalidad de las convenciones colectivas en el sector público, determinó que: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“Se evacua la consulta formulada por la Sala Segunda de la Corte Suprema de Justicia, en el siguiente sentido: a) son inconstitucionales las convenciones colectivas reguladas por los artículos 54 y siguientes del Código de Trabajo que se celebran en el sector público, cuando se trata de personal regido por la relación de empleo de naturaleza pública (relación estatutaria); b) no son inconstitucionales las convenciones colectivas que se celebran en el sector público, cuando las celebran obreros, trabajadores, funcionarios o empleados del sector público, cuyas relaciones laborales se regulan por el Derecho común; c) igualmente son compatibles con el Derecho de la Constitución, los instrumentos colectivos que se han negociado y se han venido prorrogando o modificando, en aplicación de la política general sobre convenciones colectivas en el Sector Público, salvo que se trate de negociaciones con personal en relación de empleo de naturaleza pública, en cuyo caso esos instrumentos resultan inconstitucionales; d) corresponde a la administración y a los jueces que conocen en los juicios laborales, en su caso, de la aplicación de las convenciones colectivas, determinar si los trabajadores involucrados, dada la naturaleza de las funciones que cumplen o cumplían, están regulados por el Derecho público o el común, a los efectos de definir si pueden o no ser sujetos activos en la aplicación de las convenciones colectivas. (...)”</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A partir de los anteriores precedentes, así como de la lectura del numeral 191 constitucional, es claro que la regla ineludible consiste precisamente en que los funcionarios públicos (en particular quienes además realicen “gestión pública”) deben estar regidos por una relación laboral estatutaria, es decir, por normas impuestas por la Administración en su calidad de empleador, en atención a la eficiente y eficaz prestación de los servicios públicos que cada instancia administrativa esté llamada a ofrecer. Aún cuando el constituyente haya pensado en un sistema estatutario único, lo cierto es que la redacción finalmente dada al artículo 191, así como el proceso de profunda descentralización que experimentó el Estado costarricense a partir de mil novecientos cuarenta y nueve, hace que en nuestros días resulte válida la existencia de diversas relaciones estatutarias en la Administración, en atención a la independencia funcional y autonomía administrativa que el ordenamiento asegura a varias instituciones públicas. Lo que no resulta legítimo –según se dijo- es que las relaciones entre cada Administración-patrono y sus funcionarios se rijan por reglas concertadas (contractuales) entre ambas partes, como válidamente ocurre en las relaciones de empleo privado. De lo anterior se desprende que si bien la Sala declaró inconstitucionales las normas del Código de Trabajo que permitían en el sector público el uso del arbitraje como mecanismo de solución de los conflictos en el orden laboral, así como el uso de la negociación colectiva para el establecimiento de las condiciones de trabajo, ello no impide que los extremos una vez negociados o arbitrados pudieran luego ser acordados unilateralmente por las Administraciones Públicas en sus reglamentos de servicio o estatutos de trabajo. Lo que la Sala declaró inconstitucional fue el procedimiento de creación de cláusulas contractuales y de solución de conflictos económicos y sociales, no así los beneficios y condiciones particulares de trabajo que cada uno de los órganos y entes públicos dotados de independencia funcional o autonomía administrativa pudiera acordar en forma unilateral para sus trabajadores. Por lo tanto, que la Caja Costarricense de Seguro Social haya incluido en las “Normas de Relaciones laborales” reglas similares o incluso idénticas a las provenientes de laudos arbitrales dictados antes de mil novecientos noventa y dos, no es contrario al Derecho de la Constitución. Debe entenderse en todo caso que lo hizo haciendo uso de su potestad reglamentaria y no propiamente en acatamiento del laudo, ya que estas decisiones dejaron de regir desde el momento de su anulación, aun cuando se </w:t>
      </w:r>
      <w:r w:rsidRPr="00FB2555">
        <w:rPr>
          <w:rFonts w:ascii="Verdana" w:eastAsia="Times New Roman" w:hAnsi="Verdana" w:cs="Times New Roman"/>
          <w:color w:val="000000"/>
          <w:sz w:val="20"/>
          <w:szCs w:val="20"/>
          <w:lang w:eastAsia="es-CR"/>
        </w:rPr>
        <w:lastRenderedPageBreak/>
        <w:t xml:space="preserve">conservaran los derechos adquiridos de buena fe. Así las cosas, para determinar si las reglas de un Reglamento como el ahora impugnado son válidas, debe la Sala proceder al análisis particularizado de cada una, sin que proceda una anulación genérica, como la que proponen los actores. Para ello, es importante tomar en consideración lo estipulado por la Sala en las sentencias números 2000- 07730, de las catorce horas cuarenta y siete minutos del treinta de agosto de dos mil y 2001- 12953, de las dieciséis horas con veintiocho minutos del dieciocho de diciembre de dos mil uno, mediante las cuales anuló varias cláusulas de la Convención Colectiva de Trabajo de la Refinadora Costarricense de Petróleo S.A. y el Reglamento de Beneficios no Salariales para los Funcionarios de RECOPE que participan de la Gestión Pública de la Empresa. En efecto, el parámetro empleado por la Sala para valorar la legitimidad de las disposiciones cuestionadas en aquella ocasión fue básicamente el principio de razonabilidad. Al ser posible la emisión de reglas estatutarias a las diferentes administraciones públicas que gozan de autonomía o independencia funcional, es ilusorio aplicar en forma plana a estas normas un simple juicio de igualdad en relación con la situación de otros funcionarios amparados por regímenes estatutarios diversos. No obstante, la aprobación de beneficios injustificados para los trabajadores de una institución pública (autónoma, semiautónoma, empresa pública, etc.) financiados con fondos de todos los costarricense sí resulta contrario al Derecho de la Constitución. De ahí que lo procedente ahora sea verificar la validez de las diversas normas objeto de esta acción.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VII.-</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Permisos con goce de salario (artículo 20 inciso b) párrafos II, VIII, IX y X del Reglamento).</w:t>
      </w:r>
      <w:r w:rsidRPr="00FB2555">
        <w:rPr>
          <w:rFonts w:ascii="Verdana" w:eastAsia="Times New Roman" w:hAnsi="Verdana" w:cs="Times New Roman"/>
          <w:color w:val="000000"/>
          <w:sz w:val="20"/>
          <w:szCs w:val="20"/>
          <w:lang w:eastAsia="es-CR"/>
        </w:rPr>
        <w:t xml:space="preserve"> Cuestionan los actores la constitucionalidad de los artículos 20 inciso b) párrafos II, VIII, IX y X del Reglamento objeto de esta acción, por entender que confieren a los funcionarios de la Caja Costarricense de Seguro Social ventajas excesivas para recibir licencias con goce de salario, sin especificarse adecuadamente las razones que deben mediar para el otorgamiento de tales permisos, o permitiéndolos para la realización de actividades privadas ajenas a la función pública que la Caja desempeña. Estiman asimismo que lo anterior podría implicar un inadecuado manejo de fondos públicos. Disponen las normas en cuestión: </w:t>
      </w:r>
    </w:p>
    <w:p w:rsidR="00A65DB7" w:rsidRPr="00FB2555" w:rsidRDefault="00A65DB7" w:rsidP="00A65DB7">
      <w:pPr>
        <w:spacing w:before="100" w:beforeAutospacing="1" w:after="100" w:afterAutospacing="1" w:line="240" w:lineRule="auto"/>
        <w:jc w:val="both"/>
        <w:rPr>
          <w:rFonts w:ascii="Verdana" w:eastAsia="Times New Roman" w:hAnsi="Verdana" w:cs="Times New Roman"/>
          <w:i/>
          <w:iCs/>
          <w:color w:val="000000"/>
          <w:sz w:val="20"/>
          <w:szCs w:val="20"/>
          <w:lang w:eastAsia="es-CR"/>
        </w:rPr>
      </w:pPr>
      <w:r w:rsidRPr="00FB2555">
        <w:rPr>
          <w:rFonts w:ascii="Verdana" w:eastAsia="Times New Roman" w:hAnsi="Verdana" w:cs="Times New Roman"/>
          <w:i/>
          <w:iCs/>
          <w:color w:val="000000"/>
          <w:sz w:val="20"/>
          <w:szCs w:val="20"/>
          <w:lang w:eastAsia="es-CR"/>
        </w:rPr>
        <w:t>“Artículo 20.-</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Licencias y permisos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b) Además, la Caja otorgará licencias con goce de salario en los siguientes casos: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II. Por matrimonio del trabajador (a) ocho días naturales.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 xml:space="preserve">VIII. Para matrícula del trabajador (a) o de sus hijos (as) en centros educativos y para atender reuniones de la escuela y colegio de los hijos (as): el tiempo prudencial para asistir a la actividad, en el entendido de que el trabajador (a) presentará justificante </w:t>
      </w:r>
      <w:r w:rsidRPr="00FB2555">
        <w:rPr>
          <w:rFonts w:ascii="Verdana" w:eastAsia="Times New Roman" w:hAnsi="Verdana" w:cs="Times New Roman"/>
          <w:i/>
          <w:iCs/>
          <w:color w:val="000000"/>
          <w:sz w:val="20"/>
          <w:szCs w:val="20"/>
          <w:lang w:eastAsia="es-CR"/>
        </w:rPr>
        <w:lastRenderedPageBreak/>
        <w:t>(circular del centro educativo que llame a estas reuniones o constancia de asistencia), y si no lo hace, se le rebajará el salario correspondiente, sin perjuicio de la sanción disciplinaria que pueda corresponder.</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IX. La Caja, conforme al “Esquema de Delegación para la Aprobación de Movimientos de Personal” vigente, continuará con su política actual de otorgar permisos o licencias para asistir a eventos nacionales e internacionales, de interés mutuo para la Institución y los trabajadores (as), tales como seminarios, congresos, etc., determinando en cada caso la procedencia, tiempo requerido y la comprobación de la asistencia.</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X. Otros permisos discrecionales para ausentarse durante la jornada diaria de trabajo, pueden solicitarse verbalmente y ser resueltos de la misma forma, bajo la responsabilidad de la jefatura inmediata.</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color w:val="000000"/>
          <w:sz w:val="20"/>
          <w:szCs w:val="20"/>
          <w:lang w:eastAsia="es-CR"/>
        </w:rPr>
      </w:pPr>
      <w:r w:rsidRPr="00FB2555">
        <w:rPr>
          <w:rFonts w:ascii="Verdana" w:eastAsia="Times New Roman" w:hAnsi="Verdana" w:cs="Times New Roman"/>
          <w:color w:val="000000"/>
          <w:sz w:val="20"/>
          <w:szCs w:val="20"/>
          <w:lang w:eastAsia="es-CR"/>
        </w:rPr>
        <w:t xml:space="preserve">A juicio de esta Sala, ninguna de las normas impugnadas es inconstitucional. Respecto de la licencia por matrimonio, estima la Sala que la posibilidad dada a los trabajadores de la Caja Costarricense de Seguro Social para beneficiarse con un permiso remunerado de ocho días naturales es perfectamente razonable. Se trata de una medida adoptada para permitir que el funcionario disfrute con su pareja los primeros días de su vida matrimonial, protegida en nuestro ordenamiento como un valor de importancia capital, según dispone el artículo 52 de la Constitución Política. El plazo además no es excesivo para atender un acto de tal trascendencia en la vida de la persona. Es claro que en éste y en cualquier otro caso en que la Administración confiera una licencia (remunerada o no) a uno de sus funcionarios, debe tomar todas las previsiones necesarias para que el servicio público que dicho servidor contribuye a prestar, no se vea impedido ni obstaculizado por su ausencia. Tampoco es discriminatoria dicha posibilidad, ya que otros regímenes estatutarios públicos plantean la misma medida, incluyendo el Estatuto de Servicio Civil (artículo 37) y su reglamento (artículo 33). En segundo lugar, tampoco es ilegítimo que la Caja Costarricense de Seguro Social dé a sus funcionarios licencias “por tiempo prudencial” para efectuar la matrícula suya en centros de enseñanza o la matrícula y reuniones de sus hijos en escuelas o colegios. Razones de la más elemental lógica permiten concluir que lo propuesto por los actores, es decir, la eliminación de esta posibilidad, dificultaría a muchas familias lograr un lugar para ellos o sus hijos en los centros educativos, que en Costa Rica se caracterizan por un endémico problema de saturación. También es un deber de los padres participar en el proceso educativo de sus hijos, por lo que darles permisos para asistir a las reuniones convocadas por la escuela o colegio de aquellos es apenas eliminar obstáculos para el adecuado desarrollo de la juventud costarricense. Siendo la educación un derecho fundamental y un deber de rango constitucional (artículo 78 de la Carta Política), una facilitación como la acusada no constituye ningún abuso en el manejo de fondos públicos, sino en una necesidad para que las personas puedan efectuar todos los trámites necesarios para seguir sus propios estudios o los de sus hijos. En todo caso, la misma norma impone la necesaria comprobación de asistencia a la actividad en cuestión y limita el permiso al tiempo “prudencial”, es decir, al estrictamente necesario, para efectuar la matrícula o asistir a la reunión. Entendida de esta forma, la disposición en comentario no contraviene el Derecho de la Constitución. Sobre los permisos remunerados a los servidores de la Caja para la asistencia a actividades académicas, es evidente que esta norma no es inconstitucional. Los permisos con goce de salario que sean dados a los empleados para efectuar estudios de interés institucional o investigación en temas relacionados </w:t>
      </w:r>
      <w:r w:rsidRPr="00FB2555">
        <w:rPr>
          <w:rFonts w:ascii="Verdana" w:eastAsia="Times New Roman" w:hAnsi="Verdana" w:cs="Times New Roman"/>
          <w:color w:val="000000"/>
          <w:sz w:val="20"/>
          <w:szCs w:val="20"/>
          <w:lang w:eastAsia="es-CR"/>
        </w:rPr>
        <w:lastRenderedPageBreak/>
        <w:t>con las competencias de la Caja Costarricense de Seguro Social, constituye una inversión más que un gasto superfluo. Asimismo, el mismo párrafo IX del inciso b) del artículo 20 determina que tales permisos proceden únicamente cuando sean de relevancia para la Caja y para el funcionario, y únicamente podrán ser dados por el tiempo estrictamente requerido y exigiendo la respectiva comprobación de asistencia. Es una obligación de la Administración (y de cualquier otro empleador) capacitar a sus trabajadores de modo que puedan llevar a cabo su labor en forma más segura y eficaz. Tratándose de funcionarios públicos, el anterior deber se ve reforzado por la necesidad de satisfacer en forma eficiente y completa el servicio público</w:t>
      </w:r>
      <w:r w:rsidRPr="00FB2555">
        <w:rPr>
          <w:rFonts w:ascii="Verdana" w:eastAsia="Times New Roman" w:hAnsi="Verdana" w:cs="Times New Roman"/>
          <w:b/>
          <w:color w:val="000000"/>
          <w:sz w:val="20"/>
          <w:szCs w:val="20"/>
          <w:lang w:eastAsia="es-CR"/>
        </w:rPr>
        <w:t xml:space="preserve">. Finalmente, en cuanto al párrafo X, referente a “otros permisos discrecionales”, esta disposición no es inconstitucional per se, pero debe ser interpretada de conformidad con el Derecho de la Constitución, de modo que no propicie una situación como la que preocupa a los accionantes. Si bien es legítimo que el otorgamiento de este tipo de beneficios pueda estar sujeto a un cierto margen de </w:t>
      </w:r>
      <w:r w:rsidR="009C1DDE" w:rsidRPr="009C1DDE">
        <w:rPr>
          <w:rFonts w:ascii="Verdana" w:eastAsia="Times New Roman" w:hAnsi="Verdana" w:cs="Times New Roman"/>
          <w:b/>
          <w:color w:val="000000"/>
          <w:sz w:val="20"/>
          <w:szCs w:val="20"/>
          <w:lang w:eastAsia="es-CR"/>
        </w:rPr>
        <w:t xml:space="preserve"> </w:t>
      </w:r>
      <w:r w:rsidRPr="00FB2555">
        <w:rPr>
          <w:rFonts w:ascii="Verdana" w:eastAsia="Times New Roman" w:hAnsi="Verdana" w:cs="Times New Roman"/>
          <w:b/>
          <w:color w:val="000000"/>
          <w:sz w:val="20"/>
          <w:szCs w:val="20"/>
          <w:lang w:eastAsia="es-CR"/>
        </w:rPr>
        <w:t xml:space="preserve"> administrativa (en el sentido que la Ley General de la Administración Pública da a este concepto), lo cierto es que cualquier autorización para que un funcionario público se ausente de sus labores sin perder su remuneración salarial (excluyendo así las vacaciones legales y las licencias por incapacidad) debe obedecer necesariamente a la realización de una actividad de beneficio para la institución, y consecuentemente para los usuarios de sus servicios. La norma como tal no es inconstitucional, pero su aplicación debe ser efectuada en estrecha consonancia con los fines públicos encomendados a la Caja Costarricense de Seguro Social, así como las más celosas y rigurosas reglas sobre el manejo de fondos públicos, pues el uso que se dé a éstos deriva necesariamente en la calidad y efectividad de los servicios de salud y seguridad social que la institución está llamada a prestar. No obstante, en tanto la norma en cuestión sea interpretada y aplicada del modo indicado, no implica ningún vicio de inconstitucionalidad.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VIII.-</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Licencias sindicales (artículos 60 y 61 del Reglamento).</w:t>
      </w:r>
      <w:r w:rsidRPr="00FB2555">
        <w:rPr>
          <w:rFonts w:ascii="Verdana" w:eastAsia="Times New Roman" w:hAnsi="Verdana" w:cs="Times New Roman"/>
          <w:color w:val="000000"/>
          <w:sz w:val="20"/>
          <w:szCs w:val="20"/>
          <w:lang w:eastAsia="es-CR"/>
        </w:rPr>
        <w:t xml:space="preserve"> Impugnan los accionantes los artículos 60 y 61 del Reglamento objeto de este proceso, en tanto establecen permisos remunerados a los asociados y dirigentes de las organizaciones sindicales de la Caja Costarricense de Seguro Social, para participar en actividades propias de sus respectivas organizaciones. El texto de las normas en cuestión es el siguiente: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“Artículo 60- Permiso para otras actividades sindicales</w:t>
      </w:r>
      <w:r w:rsidR="00450CC0">
        <w:rPr>
          <w:rFonts w:ascii="Verdana" w:eastAsia="Times New Roman" w:hAnsi="Verdana" w:cs="Times New Roman"/>
          <w:i/>
          <w:iCs/>
          <w:color w:val="000000"/>
          <w:sz w:val="20"/>
          <w:szCs w:val="20"/>
          <w:lang w:eastAsia="es-CR"/>
        </w:rPr>
        <w:t xml:space="preserve"> </w:t>
      </w:r>
      <w:r w:rsidRPr="00FB2555">
        <w:rPr>
          <w:rFonts w:ascii="Verdana" w:eastAsia="Times New Roman" w:hAnsi="Verdana" w:cs="Times New Roman"/>
          <w:i/>
          <w:iCs/>
          <w:color w:val="000000"/>
          <w:sz w:val="20"/>
          <w:szCs w:val="20"/>
          <w:lang w:eastAsia="es-CR"/>
        </w:rPr>
        <w:t>Cursos de capacitación:</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La Caja se compromete a continuar con su política actual de conceder permisos con goce de salario a los afiliados (as) y delegados (as) sindicales para que asistan a cursos de capacitación, congresos, reuniones en materia de cooperativismo, sindicalismo o seguridad social, durante el tiempo que dure el evento.</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Para el cumplimiento de la anterior disposición, debe tomarse en cuenta en todo momento, que no sufra menoscabo la buena marcha de los servicios asegurados a los (as) pacientes.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 xml:space="preserve">La Junta Directiva de cada sindicato se compromete a enviar a la jefatura superior del centro en donde labore el afiliado (a), delegado (a) o dirigente sindical, un informe </w:t>
      </w:r>
      <w:r w:rsidRPr="00FB2555">
        <w:rPr>
          <w:rFonts w:ascii="Verdana" w:eastAsia="Times New Roman" w:hAnsi="Verdana" w:cs="Times New Roman"/>
          <w:i/>
          <w:iCs/>
          <w:color w:val="000000"/>
          <w:sz w:val="20"/>
          <w:szCs w:val="20"/>
          <w:lang w:eastAsia="es-CR"/>
        </w:rPr>
        <w:lastRenderedPageBreak/>
        <w:t>trimestral de su asistencia a dichos eventos, constituyéndose esto en requisito indispensable para el otorgamiento de futuros permisos.”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i/>
          <w:iCs/>
          <w:color w:val="000000"/>
          <w:sz w:val="20"/>
          <w:szCs w:val="20"/>
          <w:lang w:eastAsia="es-CR"/>
        </w:rPr>
      </w:pPr>
      <w:r w:rsidRPr="00FB2555">
        <w:rPr>
          <w:rFonts w:ascii="Verdana" w:eastAsia="Times New Roman" w:hAnsi="Verdana" w:cs="Times New Roman"/>
          <w:i/>
          <w:iCs/>
          <w:color w:val="000000"/>
          <w:sz w:val="20"/>
          <w:szCs w:val="20"/>
          <w:lang w:eastAsia="es-CR"/>
        </w:rPr>
        <w:t>“Artículo 61.-</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Otras licencias a los miembros directivos de los sindicatos.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La Junta Directiva de los sindicatos nacionales disfrutará de permiso con goce de salario para uno de sus miembros a fin de dedicarlo exclusivamente a tareas propias de su organización, de acuerdo a la siguiente tabla:</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Número de afiliados al sindicato:</w:t>
      </w:r>
      <w:r w:rsidR="00450CC0">
        <w:rPr>
          <w:rFonts w:ascii="Verdana" w:eastAsia="Times New Roman" w:hAnsi="Verdana" w:cs="Times New Roman"/>
          <w:i/>
          <w:iCs/>
          <w:color w:val="000000"/>
          <w:sz w:val="20"/>
          <w:szCs w:val="20"/>
          <w:lang w:eastAsia="es-CR"/>
        </w:rPr>
        <w:t xml:space="preserve"> </w:t>
      </w:r>
      <w:r w:rsidRPr="00FB2555">
        <w:rPr>
          <w:rFonts w:ascii="Verdana" w:eastAsia="Times New Roman" w:hAnsi="Verdana" w:cs="Times New Roman"/>
          <w:i/>
          <w:iCs/>
          <w:color w:val="000000"/>
          <w:sz w:val="20"/>
          <w:szCs w:val="20"/>
          <w:lang w:eastAsia="es-CR"/>
        </w:rPr>
        <w:t>Número de días a disfrutar</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100 a 5001 día al mes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501 a 20002 días al mes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2001 y más3 días al mes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 xml:space="preserve">Estos días serán distribuidos por el sindicato entre los miembros de su Junta Directiva, notificando la escogencia del miembro y el día en que gozará del beneficio, con quince (15) días de anticipación a la jefatura respectiva y procurando mantener la </w:t>
      </w:r>
      <w:proofErr w:type="spellStart"/>
      <w:r w:rsidRPr="00FB2555">
        <w:rPr>
          <w:rFonts w:ascii="Verdana" w:eastAsia="Times New Roman" w:hAnsi="Verdana" w:cs="Times New Roman"/>
          <w:i/>
          <w:iCs/>
          <w:color w:val="000000"/>
          <w:sz w:val="20"/>
          <w:szCs w:val="20"/>
          <w:lang w:eastAsia="es-CR"/>
        </w:rPr>
        <w:t>alternabilidad</w:t>
      </w:r>
      <w:proofErr w:type="spellEnd"/>
      <w:r w:rsidRPr="00FB2555">
        <w:rPr>
          <w:rFonts w:ascii="Verdana" w:eastAsia="Times New Roman" w:hAnsi="Verdana" w:cs="Times New Roman"/>
          <w:i/>
          <w:iCs/>
          <w:color w:val="000000"/>
          <w:sz w:val="20"/>
          <w:szCs w:val="20"/>
          <w:lang w:eastAsia="es-CR"/>
        </w:rPr>
        <w:t xml:space="preserve"> en la selección del miembro, con miras a no deteriorar la eficiencia del servicio.</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 xml:space="preserve">La Junta Directiva de cada sindicato se </w:t>
      </w:r>
      <w:proofErr w:type="gramStart"/>
      <w:r w:rsidRPr="00FB2555">
        <w:rPr>
          <w:rFonts w:ascii="Verdana" w:eastAsia="Times New Roman" w:hAnsi="Verdana" w:cs="Times New Roman"/>
          <w:i/>
          <w:iCs/>
          <w:color w:val="000000"/>
          <w:sz w:val="20"/>
          <w:szCs w:val="20"/>
          <w:lang w:eastAsia="es-CR"/>
        </w:rPr>
        <w:t>comprometen</w:t>
      </w:r>
      <w:proofErr w:type="gramEnd"/>
      <w:r w:rsidRPr="00FB2555">
        <w:rPr>
          <w:rFonts w:ascii="Verdana" w:eastAsia="Times New Roman" w:hAnsi="Verdana" w:cs="Times New Roman"/>
          <w:i/>
          <w:iCs/>
          <w:color w:val="000000"/>
          <w:sz w:val="20"/>
          <w:szCs w:val="20"/>
          <w:lang w:eastAsia="es-CR"/>
        </w:rPr>
        <w:t xml:space="preserve"> a enviar a la jefatura superior del centro en donde labora el directivo, un informe trimestral del disfrute de este beneficio, constituyéndose esto en requisito indispensable para el otorgamiento de futuros permisos.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El delegado (a) sindical en una unidad de trabajo podrá tratar los asuntos urgentes de su actividad con el jefe respectivo en horas laborales. El jefe atenderá al delegado (a) en el momento oportuno en un plazo no mayor de cuarenta y ocho (48) horas.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Cuando la situación trascienda a otras unidades de trabajo, la Junta Directiva o Seccionales, coordinarán el asunto con las Autoridades Superiores.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 xml:space="preserve">Referente a la concesión de los permisos contemplados en este artículo, debe tomarse en cuenta en todo momento, que no sufra menoscabo la buena marcha de los servicios a </w:t>
      </w:r>
      <w:proofErr w:type="spellStart"/>
      <w:r w:rsidRPr="00FB2555">
        <w:rPr>
          <w:rFonts w:ascii="Verdana" w:eastAsia="Times New Roman" w:hAnsi="Verdana" w:cs="Times New Roman"/>
          <w:i/>
          <w:iCs/>
          <w:color w:val="000000"/>
          <w:sz w:val="20"/>
          <w:szCs w:val="20"/>
          <w:lang w:eastAsia="es-CR"/>
        </w:rPr>
        <w:t>lo</w:t>
      </w:r>
      <w:proofErr w:type="spellEnd"/>
      <w:r w:rsidRPr="00FB2555">
        <w:rPr>
          <w:rFonts w:ascii="Verdana" w:eastAsia="Times New Roman" w:hAnsi="Verdana" w:cs="Times New Roman"/>
          <w:i/>
          <w:iCs/>
          <w:color w:val="000000"/>
          <w:sz w:val="20"/>
          <w:szCs w:val="20"/>
          <w:lang w:eastAsia="es-CR"/>
        </w:rPr>
        <w:t xml:space="preserve"> asegurados (as) y pacientes.”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Respecto de la constitucionalidad de las dos normas antes citadas, debe la Sala empezar por recordar que el artículo 60 de la Constitución Política reconoce expresamente el derecho de todos los trabajadores a sindicalizarse, como medio para obtener y conservar beneficios económicos, sociales o profesionales. Es así como claramente se puede afirmar que es un derecho fundamental la posibilidad de los trabajadores de hacerse representar por organizaciones sindicales para contrarrestar al menos parcialmente, su posición de inferioridad material frente al patrono. </w:t>
      </w:r>
      <w:r w:rsidRPr="00450CC0">
        <w:rPr>
          <w:rFonts w:ascii="Verdana" w:eastAsia="Times New Roman" w:hAnsi="Verdana" w:cs="Times New Roman"/>
          <w:b/>
          <w:color w:val="000000"/>
          <w:sz w:val="20"/>
          <w:szCs w:val="20"/>
          <w:lang w:eastAsia="es-CR"/>
        </w:rPr>
        <w:t>No obstante, la generalidad de la citada norma constitucional no permite comprender con la simple lectura del texto en cuestión, la dimensión del referido derecho fundamental.</w:t>
      </w:r>
      <w:r w:rsidRPr="00FB2555">
        <w:rPr>
          <w:rFonts w:ascii="Verdana" w:eastAsia="Times New Roman" w:hAnsi="Verdana" w:cs="Times New Roman"/>
          <w:color w:val="000000"/>
          <w:sz w:val="20"/>
          <w:szCs w:val="20"/>
          <w:lang w:eastAsia="es-CR"/>
        </w:rPr>
        <w:t xml:space="preserve"> Para tener una idea más clara acerca de los alcances </w:t>
      </w:r>
      <w:r w:rsidRPr="00FB2555">
        <w:rPr>
          <w:rFonts w:ascii="Verdana" w:eastAsia="Times New Roman" w:hAnsi="Verdana" w:cs="Times New Roman"/>
          <w:color w:val="000000"/>
          <w:sz w:val="20"/>
          <w:szCs w:val="20"/>
          <w:lang w:eastAsia="es-CR"/>
        </w:rPr>
        <w:lastRenderedPageBreak/>
        <w:t xml:space="preserve">de la libertad sindical en Costa Rica, resulta necesario tomar en consideración las disposiciones acordadas por la Organización Internacional del Trabajo, en especial en sus Convenios números 87 y 135, así como en la Recomendación número 143. El Convenio número 87, Relativo a la Libertad Sindical y a la Protección del Derecho a la Sindicación, aprobado por Ley 2561 de once de mayo de mil novecientos sesenta, además de reconocer la libre sindicalización como un derecho básico (artículo 2°), prohíbe a los Estados intervenir en modo alguno que pueda derivar en la limitación o entorpecimiento de ese derecho. Por su parte, el Convenio número 98, Relativo a la Protección y Facilidades que deben otorgarse a los representantes de los trabajadores en la Empresa, aprobado mediante Ley número 5968 de nueve de noviembre de mil novecientos setenta y seis, dispone que los representantes de los trabajadores deberán gozar de protección eficaz contra todo acto que pueda perjudicarlos, incluso el despido (artículo 1°); asimismo, establece que tales representantes deberán recibir de parte de sus patronos, las facilidades necesarias para llevar a cabo su función en forma rápida y eficaz (artículo 2°), remitiendo a la “legislación nacional” o a decisiones jurisdiccionales, la delimitación de los destinatarios de dicho beneficio (artículo 4°). En la misma línea, la Recomendación número 143, Sobre los Representantes de los Trabajadores, adoptada en dos de junio de mil novecientos setenta y uno, determina que los representantes sindicales deben recibir en los Estados miembros la protección y facilidades necesarias para llevar a cabo en forma efectiva su función (artículos 2 y 3); igualmente, exhorta a los Estados a disponer para los representantes sindicales, facilidades concretas, tales como tiempo libre necesario para desempeñar las tareas de representación en la empresa, sin pérdida de salario ni de prestaciones u otras ventajas sociales (artículo 10); dispone que debe de asegurar a los representantes el tiempo libre suficiente para asistir a reuniones, cursos de formación, seminarios, congresos y conferencias sindicales, sin menoscabo de su remuneración, prestaciones u otras ventajas sociales (artículo 11). En desarrollo de las normas </w:t>
      </w:r>
      <w:proofErr w:type="spellStart"/>
      <w:r w:rsidRPr="00FB2555">
        <w:rPr>
          <w:rFonts w:ascii="Verdana" w:eastAsia="Times New Roman" w:hAnsi="Verdana" w:cs="Times New Roman"/>
          <w:color w:val="000000"/>
          <w:sz w:val="20"/>
          <w:szCs w:val="20"/>
          <w:lang w:eastAsia="es-CR"/>
        </w:rPr>
        <w:t>supralegales</w:t>
      </w:r>
      <w:proofErr w:type="spellEnd"/>
      <w:r w:rsidRPr="00FB2555">
        <w:rPr>
          <w:rFonts w:ascii="Verdana" w:eastAsia="Times New Roman" w:hAnsi="Verdana" w:cs="Times New Roman"/>
          <w:color w:val="000000"/>
          <w:sz w:val="20"/>
          <w:szCs w:val="20"/>
          <w:lang w:eastAsia="es-CR"/>
        </w:rPr>
        <w:t xml:space="preserve"> citadas, el artículo 363 del Código de Trabajo prohíbe cualquier acción u omisión que tienda evitar, limitar, constreñir o impedir el libre ejercicio de los derechos colectivos de los trabajadores o sindicatos. Finalmente, el artículo 33 inciso b) del Reglamento del Estatuto de Servicio Civil estipula que los permisos conferidos a los dirigentes y miembros de los sindicatos para asistir a cursos de capacitación en el campo sindical o de estudios generales, dentro o fuera del país, podrán serlo con goce de salario y sin deducción del período de vacaciones. El anterior cuadro sirve para constatar que Costa Rica ha reconocido ampliamente el derecho a la sindicación, así como la necesidad de dar a los representantes de los trabajadores las facilidades necesarias para llevar a cabo su labor en forma eficaz. Si bien las disposiciones más concretas y específicas en relación con este tema están contenidas en una “Recomendación” de la Organización Internacional del Trabajo, ya la Sala ha reconocido la vigencia de las reglas contenidas en los instrumentos de carácter meramente declarativo, no sujetos al procedimiento para la suscripción y aprobación de los tratados internacionales, en los siguientes términos: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“Huelga aclarar que todos los instrumentos citados en el párrafo anterior constituyen fuente de Derecho en Costa Rica, susceptibles de ser aplicados directamente por esta Sala Constitucional para la resolución del presente asunto, según dicta el artículo 48 constitucional. En el caso de los aprobados por la Asamblea Legislativa, por disposición expresa del artículo 7 de la Constitución Política. En cuanto a los que no gozan de dicha condición, porque constituyen al menos fuentes de interpretación de los instrumentos aprobados. Tampoco reconoce esta Sala la existencia de simples recomendaciones en materia de derechos humanos, pues si los Estados deciden auto limitarse, reconociendo la existencia de determinados derechos humanos, aun cuando aparezcan denominadas con el nombre de “</w:t>
      </w:r>
      <w:proofErr w:type="spellStart"/>
      <w:r w:rsidRPr="00FB2555">
        <w:rPr>
          <w:rFonts w:ascii="Verdana" w:eastAsia="Times New Roman" w:hAnsi="Verdana" w:cs="Times New Roman"/>
          <w:i/>
          <w:iCs/>
          <w:color w:val="000000"/>
          <w:sz w:val="20"/>
          <w:szCs w:val="20"/>
          <w:lang w:eastAsia="es-CR"/>
        </w:rPr>
        <w:t>recomendaciones”.Lo</w:t>
      </w:r>
      <w:proofErr w:type="spellEnd"/>
      <w:r w:rsidRPr="00FB2555">
        <w:rPr>
          <w:rFonts w:ascii="Verdana" w:eastAsia="Times New Roman" w:hAnsi="Verdana" w:cs="Times New Roman"/>
          <w:i/>
          <w:iCs/>
          <w:color w:val="000000"/>
          <w:sz w:val="20"/>
          <w:szCs w:val="20"/>
          <w:lang w:eastAsia="es-CR"/>
        </w:rPr>
        <w:t xml:space="preserve"> anterior lleva a </w:t>
      </w:r>
      <w:r w:rsidRPr="00FB2555">
        <w:rPr>
          <w:rFonts w:ascii="Verdana" w:eastAsia="Times New Roman" w:hAnsi="Verdana" w:cs="Times New Roman"/>
          <w:i/>
          <w:iCs/>
          <w:color w:val="000000"/>
          <w:sz w:val="20"/>
          <w:szCs w:val="20"/>
          <w:lang w:eastAsia="es-CR"/>
        </w:rPr>
        <w:lastRenderedPageBreak/>
        <w:t xml:space="preserve">entender que la </w:t>
      </w:r>
      <w:r w:rsidRPr="00FB2555">
        <w:rPr>
          <w:rFonts w:ascii="Verdana" w:eastAsia="Times New Roman" w:hAnsi="Verdana" w:cs="Times New Roman"/>
          <w:color w:val="000000"/>
          <w:sz w:val="20"/>
          <w:szCs w:val="20"/>
          <w:lang w:eastAsia="es-CR"/>
        </w:rPr>
        <w:t>Recomendación que define los principios internacionales que deberán aplicarse a las excavaciones arqueológicas</w:t>
      </w:r>
      <w:r w:rsidRPr="00FB2555">
        <w:rPr>
          <w:rFonts w:ascii="Verdana" w:eastAsia="Times New Roman" w:hAnsi="Verdana" w:cs="Times New Roman"/>
          <w:i/>
          <w:iCs/>
          <w:color w:val="000000"/>
          <w:sz w:val="20"/>
          <w:szCs w:val="20"/>
          <w:lang w:eastAsia="es-CR"/>
        </w:rPr>
        <w:t xml:space="preserve">, la </w:t>
      </w:r>
      <w:r w:rsidRPr="00FB2555">
        <w:rPr>
          <w:rFonts w:ascii="Verdana" w:eastAsia="Times New Roman" w:hAnsi="Verdana" w:cs="Times New Roman"/>
          <w:color w:val="000000"/>
          <w:sz w:val="20"/>
          <w:szCs w:val="20"/>
          <w:lang w:eastAsia="es-CR"/>
        </w:rPr>
        <w:t>Carta Internacional sobre la conservación y la restauración de los monumentos y de los sitios</w:t>
      </w:r>
      <w:r w:rsidRPr="00FB2555">
        <w:rPr>
          <w:rFonts w:ascii="Verdana" w:eastAsia="Times New Roman" w:hAnsi="Verdana" w:cs="Times New Roman"/>
          <w:i/>
          <w:iCs/>
          <w:color w:val="000000"/>
          <w:sz w:val="20"/>
          <w:szCs w:val="20"/>
          <w:lang w:eastAsia="es-CR"/>
        </w:rPr>
        <w:t xml:space="preserve"> y la </w:t>
      </w:r>
      <w:r w:rsidRPr="00FB2555">
        <w:rPr>
          <w:rFonts w:ascii="Verdana" w:eastAsia="Times New Roman" w:hAnsi="Verdana" w:cs="Times New Roman"/>
          <w:color w:val="000000"/>
          <w:sz w:val="20"/>
          <w:szCs w:val="20"/>
          <w:lang w:eastAsia="es-CR"/>
        </w:rPr>
        <w:t>Recomendación sobre la conservación de los bienes culturales que la ejecución de obras públicas o privadas pone en peligro</w:t>
      </w:r>
      <w:r w:rsidRPr="00FB2555">
        <w:rPr>
          <w:rFonts w:ascii="Verdana" w:eastAsia="Times New Roman" w:hAnsi="Verdana" w:cs="Times New Roman"/>
          <w:i/>
          <w:iCs/>
          <w:color w:val="000000"/>
          <w:sz w:val="20"/>
          <w:szCs w:val="20"/>
          <w:lang w:eastAsia="es-CR"/>
        </w:rPr>
        <w:t xml:space="preserve">, son –en los términos antes dichos- actos provistos de plena normatividad en el ordenamiento constitucional costarricense, sin que se les pueda considerar simples enumeraciones de objetivos y metas a alcanzar.” </w:t>
      </w:r>
      <w:r w:rsidRPr="00FB2555">
        <w:rPr>
          <w:rFonts w:ascii="Verdana" w:eastAsia="Times New Roman" w:hAnsi="Verdana" w:cs="Times New Roman"/>
          <w:color w:val="000000"/>
          <w:sz w:val="20"/>
          <w:szCs w:val="20"/>
          <w:lang w:eastAsia="es-CR"/>
        </w:rPr>
        <w:t xml:space="preserve">(Sentencia número 2002-05245, de las dieciséis horas con veinte minutos del veintinueve de mayo de dos mil dos)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A partir de los anteriores argumentos, puede concluirse que los artículos 61 y 61 de la “Normativa de Relaciones Laborales” no son inconstitucionales, visto que ambas disposiciones se basan en las ya citadas normas constitucionales, internacionales y legales. Tanto el tiempo reservado a la participación en sesiones de capacitación, seminarios, reuniones, etc. como el previsto para que los dirigentes sindicales llevan a cabo labores de organización de su agrupación, son el desarrollo de los preceptos antes analizados, en especial de los Convenios números 87 y 135, así como de la Recomendación número 143. Los permisos previstos en aquellas disposiciones tienen como objeto que la función sindical sea llevada a cabo en forma eficaz, por lo que su regulación en el Reglamento impugnado antes de transgredir el Derecho de la Constitución, acata sus preceptos en materia de libertad sindical. En todo caso, ambos artículos contienen previsiones tendientes a impedir que el ejercicio de los derechos allí reconocidos afecte el servicio público de enorme relevancia que la Caja Costarricense de Seguro Social está llamada a prestar. Así, tanto el artículo 60 como el 61 impugnados permiten que </w:t>
      </w:r>
      <w:proofErr w:type="spellStart"/>
      <w:r w:rsidRPr="00FB2555">
        <w:rPr>
          <w:rFonts w:ascii="Verdana" w:eastAsia="Times New Roman" w:hAnsi="Verdana" w:cs="Times New Roman"/>
          <w:color w:val="000000"/>
          <w:sz w:val="20"/>
          <w:szCs w:val="20"/>
          <w:lang w:eastAsia="es-CR"/>
        </w:rPr>
        <w:t>el</w:t>
      </w:r>
      <w:proofErr w:type="spellEnd"/>
      <w:r w:rsidRPr="00FB2555">
        <w:rPr>
          <w:rFonts w:ascii="Verdana" w:eastAsia="Times New Roman" w:hAnsi="Verdana" w:cs="Times New Roman"/>
          <w:color w:val="000000"/>
          <w:sz w:val="20"/>
          <w:szCs w:val="20"/>
          <w:lang w:eastAsia="es-CR"/>
        </w:rPr>
        <w:t xml:space="preserve"> o la jerarca nieguen la licencia respectiva si con ello se afecta el servicio público; igualmente, cada tres meses deben los sindicatos informar ante las autoridades de la institución acerca del uso que han dado a tales prerrogativas, a efecto de someterlas a una estricta fiscalización respecto del uso legítimo del tiempo remunerado permitido para su dedicación a actividades sindicales. Así las cosas, en cuanto a este extremo, la acción también debe ser desestimada.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IX.-</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Tope de cesantía (artículo 21 del Reglamento).</w:t>
      </w:r>
      <w:r w:rsidRPr="00FB2555">
        <w:rPr>
          <w:rFonts w:ascii="Verdana" w:eastAsia="Times New Roman" w:hAnsi="Verdana" w:cs="Times New Roman"/>
          <w:color w:val="000000"/>
          <w:sz w:val="20"/>
          <w:szCs w:val="20"/>
          <w:lang w:eastAsia="es-CR"/>
        </w:rPr>
        <w:t xml:space="preserve"> Impugnan los promotores de esta acción, el artículo 21 de la Normativa de Relaciones Laborales” en tanto reconoce a los trabajadores de la Caja Costarricense de Seguro Social un auxilio de cesantía superior al que el Código de Trabajo. Dispone el referido numeral: </w:t>
      </w:r>
    </w:p>
    <w:p w:rsidR="00A65DB7" w:rsidRPr="00FB2555" w:rsidRDefault="00A65DB7" w:rsidP="00A65DB7">
      <w:pPr>
        <w:spacing w:before="100" w:beforeAutospacing="1" w:after="100" w:afterAutospacing="1" w:line="240" w:lineRule="auto"/>
        <w:jc w:val="both"/>
        <w:rPr>
          <w:rFonts w:ascii="Verdana" w:eastAsia="Times New Roman" w:hAnsi="Verdana" w:cs="Times New Roman"/>
          <w:i/>
          <w:iCs/>
          <w:color w:val="000000"/>
          <w:sz w:val="20"/>
          <w:szCs w:val="20"/>
          <w:lang w:eastAsia="es-CR"/>
        </w:rPr>
      </w:pPr>
      <w:r w:rsidRPr="00FB2555">
        <w:rPr>
          <w:rFonts w:ascii="Verdana" w:eastAsia="Times New Roman" w:hAnsi="Verdana" w:cs="Times New Roman"/>
          <w:i/>
          <w:iCs/>
          <w:color w:val="000000"/>
          <w:sz w:val="20"/>
          <w:szCs w:val="20"/>
          <w:lang w:eastAsia="es-CR"/>
        </w:rPr>
        <w:t>“Artículo 21.-</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Sobre el pago de cesantía:</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La Caja pagará por concepto de cesantía a todo trabajador (a) que cese sus funciones, un mes de sueldo por cada año o fracción no menor de seis meses de servicio, hasta un máximo de doce sueldos, cuando la terminación del contrato sea por:</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Pensión por Vejez o Invalidez del régimen de la CCSS y otros regímenes del Estado.</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Fallecimiento del trabajador (a).</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Despido por reorganización o por falta de fondos.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lastRenderedPageBreak/>
        <w:t>Despido con responsabilidad patronal por incapacidad física o mental del trabajador (a), a causa de un riesgo de trabajo que le imposibilite desempeñar sus labores habituales, que no haya habido pronunciamiento de invalidez y que no hubiera sido posible su reubicación en otra clase de labor. Para estos casos debe observarse lo que al respecto establece el artículo N° 46 de estas normas.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El cálculo se hará sobre el salario promedio de los últimos seis meses laborados; sin perjuicio de lo que la Ley llegue a disponer en el futuro sobre ese aspecto, en beneficio del trabajador (a). Este beneficio tiene efecto retrospectivo.”</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La queja fundamental de los actores consiste en que el artículo 21 establece un tope para el auxilio de cesantía de doce meses de salario, mientras que para los demás empleados de los sectores público y privado, el máximo legalmente establecido es de ocho meses (fracciones, según el texto actual del artículo 29 del Código de Trabajo). Sobre este particular, estima la Sala que la norma impugnada no establece un beneficio carente de máximo, que pueda por ende propiciar un uso indiscriminado de fondos públicos, tal y como alegan los accionantes, y por el contrario, prevé un “techo” para el auxilio de cesantía de los trabajadores de la Caja Costarricense de Seguro Social. Si bien reconoce una indemnización superior a los mínimos legales, lo cierto es que no llega a ser irrazonable, si se toma en cuenta que está sujeta a un límite y que es relativamente proporcional a la antigüedad del funcionario en la institución, de modo que cuenta con ese derecho únicamente quien se ha desempeñado durante un largo período de tiempo. El beneficio se constituye así en un estímulo para la permanencia dentro de la institución, evitando la salida de funcionarios y funcionarias de experiencia en el manejo de los temas atinentes a las competencias de la Junta. De ese modo, considera la Sala que la norma impugnada no transgrede las reglas y principios constitucionales invocados por los actores.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X.-</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Artículo Penal (numeral 38 del Reglamento).</w:t>
      </w:r>
      <w:r w:rsidRPr="00FB2555">
        <w:rPr>
          <w:rFonts w:ascii="Verdana" w:eastAsia="Times New Roman" w:hAnsi="Verdana" w:cs="Times New Roman"/>
          <w:color w:val="000000"/>
          <w:sz w:val="20"/>
          <w:szCs w:val="20"/>
          <w:lang w:eastAsia="es-CR"/>
        </w:rPr>
        <w:t xml:space="preserve"> Reclaman los actores que el artículo 38 impugnado establece un beneficio injustificado a favor de los trabajadores de la Caja Costarricense de Seguro Social, al imponer a la Administración la obligación de reconocer un salario mensual a favor de los funcionarios cesados en contra del criterio de la Junta Nacional de Relaciones Laborales, cuando posteriormente los Tribunales de Justicia estimen que no se cometió la falta o que la misma no ameritaba la sanción impuesta. Dispone el referido numeral: </w:t>
      </w:r>
    </w:p>
    <w:p w:rsidR="00A65DB7" w:rsidRPr="00FB2555" w:rsidRDefault="00A65DB7" w:rsidP="00A65DB7">
      <w:pPr>
        <w:spacing w:before="100" w:beforeAutospacing="1" w:after="100" w:afterAutospacing="1" w:line="240" w:lineRule="auto"/>
        <w:jc w:val="both"/>
        <w:rPr>
          <w:rFonts w:ascii="Verdana" w:eastAsia="Times New Roman" w:hAnsi="Verdana" w:cs="Times New Roman"/>
          <w:i/>
          <w:iCs/>
          <w:color w:val="000000"/>
          <w:sz w:val="20"/>
          <w:szCs w:val="20"/>
          <w:lang w:eastAsia="es-CR"/>
        </w:rPr>
      </w:pPr>
      <w:r w:rsidRPr="00FB2555">
        <w:rPr>
          <w:rFonts w:ascii="Verdana" w:eastAsia="Times New Roman" w:hAnsi="Verdana" w:cs="Times New Roman"/>
          <w:i/>
          <w:iCs/>
          <w:color w:val="000000"/>
          <w:sz w:val="20"/>
          <w:szCs w:val="20"/>
          <w:lang w:eastAsia="es-CR"/>
        </w:rPr>
        <w:t>“Artículo 38.-</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“Artículo penal”</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Si la Junta Nacional de Relaciones Laborales se pronuncia en contra de su despido y no obstante a ello el Gerente respectivo ratifica esta sanción, el trabajador (a) tendrá derecho también a un mes de salario adicional, si en los Tribunales se declara que no existió motivo, o que el mismo no ameritaba la sanción.”</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Si bien esta Sala ha sostenido reiteradamente que las decisiones de las juntas de relaciones laborales de las instituciones públicas no son vinculantes para los jerarcas dotados de potestad disciplinaria (cfr. sentencias de esta Sala números 06218-93, 00339-94, 04551-95, 01463-99, 2000-4863, 2001-00871, 2002-03292, 2003-10853, 2003-11421 y 2004-01218) lo cierto es que la disposición en cuestión no somete a las </w:t>
      </w:r>
      <w:r w:rsidRPr="00FB2555">
        <w:rPr>
          <w:rFonts w:ascii="Verdana" w:eastAsia="Times New Roman" w:hAnsi="Verdana" w:cs="Times New Roman"/>
          <w:color w:val="000000"/>
          <w:sz w:val="20"/>
          <w:szCs w:val="20"/>
          <w:lang w:eastAsia="es-CR"/>
        </w:rPr>
        <w:lastRenderedPageBreak/>
        <w:t xml:space="preserve">Gerencias de la Caja Costarricense de Seguro Social a los designios de la Junta Nacional de Relaciones Laborales. Por el contrario, reconoce abiertamente la posibilidad que tienen los jerarcas, como detentadores que son de la potestad disciplinaria, de separarse del criterio vertido por la Junta. No obstante, cuando la gerencia correspondiente ordene el despido sin responsabilidad de un funcionario pese a la opinión contraria de la Junta Nacional y posteriormente los Tribunales determinen la inexistencia de la causal o la improcedencia de la sanción impuesta, en tales casos entra a regir el “artículo penal” establecido en el numeral 38 impugnado, correspondiente al importe de un salario mensual a favor del servidor indebidamente cesado. Esta suma es establecida a manera de indemnización por los inconvenientes provocados por la Administración al despedir ilegítimamente a un funcionario, pese al criterio contrario de la Junta Nacional de Relaciones Laborales. No se trata pues de un beneficio excesivo, sino de una especie de “cláusula penal” que obviamente no agota la eventual obligación indemnizatoria a cargo de la Caja Costarricense de Seguro Social por los daños materiales o morales causados al trabajador con la resolución que lo despidió injustificadamente. El reconocimiento de ese rubro por concepto de reparación no resulta arbitrario, y por el contrario, contribuye a dar pleno cumplimiento a los preceptos establecidos en el artículo 41 de la Constitución Política, en tanto pretende indemnizar a quien ha sufrido un daño evidente causado una decisión administrativa no apegada a derecho. En el contexto de la responsabilidad objetiva que caracteriza el régimen a que está sometida la Administración, la fijación anticipada de un monto como el regulado a modo de “artículo penal” no resulta contrario a las normas y principios constitucionales invocados por los actores, por lo que en cuanto a este extremo, la acción deberá ser desestimada.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t>XI.-</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Cotización al Seguro de Salud (artículo 48 del Reglamento).</w:t>
      </w:r>
      <w:r w:rsidRPr="00FB2555">
        <w:rPr>
          <w:rFonts w:ascii="Verdana" w:eastAsia="Times New Roman" w:hAnsi="Verdana" w:cs="Times New Roman"/>
          <w:color w:val="000000"/>
          <w:sz w:val="20"/>
          <w:szCs w:val="20"/>
          <w:lang w:eastAsia="es-CR"/>
        </w:rPr>
        <w:t xml:space="preserve"> Cuestionan los promotores de esta demanda que los servidores y servidoras de la Caja Costarricense de Seguro Social gocen de un beneficio –a su juicio ilegítimo- que consiste en una cuota menor de cotización al Seguro de Salud, respecto de la que deben aportar los demás trabajadores. Al respecto, debe indicarse que esta Sala ya resolvió el punto en cuestión en la sentencia 2006- 06347 de las dieciséis horas cincuenta y ocho minutos del diez de mayo de dos mil seis, anulando el artículo en cuestión por estimarlo inconstitucional. En dicha oportunidad, este Tribunal indicó: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 xml:space="preserve">“De la revisión de ambas normas, se tiene que los empleados y empleadas de la Caja Costarricense de Seguro Social cotizan para el Seguro de Salud la mitad de lo que corresponde aportar para dicho régimen, a los demás trabajadores de los sectores públicos y privados, es decir, un 2,75% de su salario, frente a la regla general del 5,5%. Según informan los apoderados generales judiciales de la Caja Costarricense de Seguro Social apersonados en este proceso, la institución cubre el importe restante, de modo que aparentemente el fondo correspondiente al Seguro de salud no sufre menoscabo. La discusión entonces debe centrarse, en si la institución tiene la posibilidad de otorgar a sus trabajadores y trabajadoras un plus salarial, correspondiente a la mitad de la cuota que cada funcionario debería cotizar al Seguro de Salud, porque finalmente la C.C.S.S. es la que está asumiendo el monto faltante. Ciertamente esta institución goza de una amplia autonomía de rango constitucional, que le confiere independencia, no sólo para su actuación administrativa, sino además para la definición e implementación de su política institucional. Sin embargo, se debe tomar en consideración que el presupuesto que recibe esta institución, los cuales son fondos públicos recaudados por todos los ciudadanos, tienen una función única y singular: "administrar y gobernar los seguros sociales, a fin de proteger a los patronos </w:t>
      </w:r>
      <w:r w:rsidRPr="00FB2555">
        <w:rPr>
          <w:rFonts w:ascii="Verdana" w:eastAsia="Times New Roman" w:hAnsi="Verdana" w:cs="Times New Roman"/>
          <w:i/>
          <w:iCs/>
          <w:color w:val="000000"/>
          <w:sz w:val="20"/>
          <w:szCs w:val="20"/>
          <w:lang w:eastAsia="es-CR"/>
        </w:rPr>
        <w:lastRenderedPageBreak/>
        <w:t>y trabajadores contra los riesgos de enfermedad, invalidez, maternidad, vejez, muerte y demás contingencias determinadas por ley", de conformidad con el artículo 73 de la Constitución Política. El tipo de ingresos que recibe la C.C.S.S. definitivamente delimita el marco de su autonomía, en función precisamente de los objetivos señalados. Este Tribunal consideró en la sentencia No. 1998-7393, que el derecho a la seguridad social tutelado en los artículos 73 de la Constitución Política, 11 de la Declaración Americana de los Derechos y Deberes del Hombre y 9 Pacto Internacional de Derechos Económicos, Sociales y Culturales, garantiza a todos los ciudadanos que el Estado, por medio de la Caja Costarricense de Seguro Social, les otorgará al menos los servicios indispensables en caso de enfermedad, invalidez, maternidad, vejez y muerte. Este régimen de seguridad social se financia en forma tripartita, mediante la contribución forzosa de los patronos, los trabajadores y el Estado. Por lo tanto, la contribución es una obligación esencial para la existencia del régimen de seguridad social, y su finalidad es el fortalecimiento del fondo, para protección y beneficio de los propios contribuyentes. Este derecho supone, que los poderes públicos mantendrán un régimen público de seguridad social para todos los ciudadanos en el más alto rango, de manera que garantice la asistencia y brinde las prestaciones sociales suficientes ante situaciones de necesidad para preservar la salud y la vida. El ámbito subjetivo de aplicación del derecho de la seguridad social incorpora el principio de universalidad, pues se extiende a todos los ciudadanos, con carácter de obligatoriedad. El ámbito objetivo asume el principio de generalidad, en tanto protege situaciones de necesidad, no en la medida en que éstas hayan sido previstas y aseguradas con anterioridad, sino en tanto se produzcan efectivamente. Además, incorpora los principios de suficiencia de la protección, según módulos cuantitativos y cualitativos y de automaticidad protectora, lo que se traduce en la adecuada e inmediata protección en materia de enfermedad, invalidez, vejez y muerte. Por expresa disposición constitucional, esta gestión debe ser pública, a cargo del Estado, representado por la Caja Costarricense de Seguro Social, y la financiación responde al principio cardinal de solidaridad social, pues se funda en la contribución forzosa y tripartita que realizan trabajadores, patronos y el Estado. De forma tal que, como bien indica la Procuraduría, la Junta Directiva de la Caja Costarricense de Seguro Social en ejercicio de esa competencia establecida constitucionalmente para administrar los seguros sociales y fijar el monto de las cuotas que deben pagar el Estado, los patronos y trabajadores, no podría establecer tratos discriminatorios, ni eximir, total o parcialmente del pago de la cuota que le corresponde a cada sector, porque igualmente al asumirlo la institución, es un monto que finalmente será compensado finalmente por todos aquellos que contribuimos al financiamiento de esta institución. Una cosa es garantizar los derechos adquiridos que este Tribunal dispuso, y otra es que la administración por su propia voluntad constituya un privilegio de tal magnitud a favor de sus empleados. Y debe hacerse hincapié en que el mismo efectivamente es un privilegio y no incentivo, por lo que excede los parámetros de razonabilidad y proporcionalidad.</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i/>
          <w:iCs/>
          <w:color w:val="000000"/>
          <w:sz w:val="20"/>
          <w:szCs w:val="20"/>
          <w:lang w:eastAsia="es-CR"/>
        </w:rPr>
      </w:pPr>
      <w:r w:rsidRPr="00FB2555">
        <w:rPr>
          <w:rFonts w:ascii="Verdana" w:eastAsia="Times New Roman" w:hAnsi="Verdana" w:cs="Times New Roman"/>
          <w:i/>
          <w:iCs/>
          <w:color w:val="000000"/>
          <w:sz w:val="20"/>
          <w:szCs w:val="20"/>
          <w:lang w:eastAsia="es-CR"/>
        </w:rPr>
        <w:t>VIII.-</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 xml:space="preserve">Un beneficio se convierte en privilegio cuando no encuentra una justificación que razonablemente lo ampare. El principio de igualdad jurídica determina un tratamiento jurídico igual para quienes se encuentran en igualdad de situación y un tratamiento desigual para quienes se encuentren en situaciones diferentes. La diferencia de situación puede ser real, o bien, determinada por la ley, en cuyo caso tal determinación está sujeta al principio de razonabilidad para ser válida: la diferencia debe ser razonable. Caso contrario, se incurre en una discriminación odiosa por irrazonable, y como tal creadora de una situación que no se conforma con el principio </w:t>
      </w:r>
      <w:r w:rsidRPr="00FB2555">
        <w:rPr>
          <w:rFonts w:ascii="Verdana" w:eastAsia="Times New Roman" w:hAnsi="Verdana" w:cs="Times New Roman"/>
          <w:i/>
          <w:iCs/>
          <w:color w:val="000000"/>
          <w:sz w:val="20"/>
          <w:szCs w:val="20"/>
          <w:lang w:eastAsia="es-CR"/>
        </w:rPr>
        <w:lastRenderedPageBreak/>
        <w:t>del artículo 33 constitucional. En ese sentido, señala que esta Tribunal ha considerado que la igualdad:</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"…solo es violada cuando la desigualdad está desprovista de una justificación objetiva y razonable. Pero además, la causa de justificación del acto considerado desigual, debe ser evaluada en relación con la finalidad y sus efectos, de tal forma que debe existir, necesariamente, una relación razonable de proporcionalidad entre los medios empleados y la finalidad propiamente dicha…" (Resolución N° 316-93 de nueve horas treinta y nueve minutos del veintidós de enero de mil novecientos noventa y tres, reafirmada por la sentencia N° 1045-94 de las once horas cincuenta y un minutos del dieciocho de febrero de mil novecientos noventa y cuatro, entre otras).</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i/>
          <w:iCs/>
          <w:color w:val="000000"/>
          <w:sz w:val="20"/>
          <w:szCs w:val="20"/>
          <w:lang w:eastAsia="es-CR"/>
        </w:rPr>
        <w:t>En el ámbito de la relación de servicio, podría considerarse válido que el Estado o la Administración reconocieran a sus trabajadores en forma excepcional e individual, desde un punto de vista económico los denominados pluses como forma de incentivo, pero ello en el tanto se trate de un reconocimiento por una conducta personal que supere el debido cumplimiento de la prestación de trabajo. Cuando ese reconocimiento es general, y no tiene relación alguna con la mayor o mejor prestación del servicio, se está en presencia de un privilegio, que como tal no puede encontrar sustento constitucional. En este caso, el artículo 48 del Reglamento impugnado establece una prestación que no deriva de ningún derecho laboral, por lo que resulta injustificable y desmedido que los funcionarios y empleados de la Caja requieran de un auxilio económico adicional para cumplir con la obligación de todos los trabajadores de cotizar el 5.5% al régimen de seguridad social y que sea esta institución que es financiada con fondos públicos, la que asume el rédito faltante. Desde este punto de vista, estima este Tribunal que tal beneficio es un privilegio odioso e injustificado, que resulta irrazonable y desproporcionado, porque se les exime del pago de una obligación a un grupo reducido de funcionarios, y se cubre utilizando fondos que corresponden a todos los contribuyentes. Este privilegio ha significado a la fecha para la Caja Costarricense de Seguro Social, la erogación de millones de colones por parte de una institución a la cual se le destinan los fondos de seguros sociales para su administración, por un motivo que no resulta razonable para fundar una desigualdad amparable constitucionalmente. Al no estarse ante un criterio razonable de discriminación, el artículo 48 aquí cuestionado produce un tratamiento privilegiado, desproporcionado e irrazonable en favor de los trabajadores de la C.C.S.S. Su condición de institución autónoma, no la coloca en la misma situación de los servidores de la empresa privada, en razón de los fondos públicos que emplean, administran y por el carácter público de su nombramiento (ver sentencia No. 1996-6520 de quince horas nueve minutos del tres de diciembre de mil novecientos noventa y seis). Por consiguiente, la gestión de estos fondos debe sujetarse a los principios de moralidad y legalidad administrativa y protección del patrimonio público. El deber de austeridad y razonabilidad en el gasto público y la prohibición de derrochar o administrar los fondos públicos como fondos privados, son imperativos que se imponen al servidor público, aún tratándose de la empresa pública, que ni siquiera es el caso, por ende, deben convertirse en el norte de su accionar. Si bien la Sala Constitucional declaró la invalidez de los laudos arbitrales y dispuso que los derechos adquiridos debían ser respetados por la Administración (ver sentencia No. 1992-1696), ello no justifica en modo alguno que esta institución gubernamental acudiendo a la vía potestativa reglamentaria, otorgara a todos sus funcionarios (no solo a aquellos con derechos adquiridos sino en forma general) y les mantuviera por esta vía, un privilegio de esta índole.”</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Visto lo anterior, lo procedente es que los accionantes se estén a lo resuelto en la sentencia comentada en cuanto a este punto. </w:t>
      </w:r>
    </w:p>
    <w:p w:rsidR="00A65DB7" w:rsidRPr="00FB2555" w:rsidRDefault="00A65DB7" w:rsidP="00A65DB7">
      <w:pPr>
        <w:spacing w:before="100" w:beforeAutospacing="1" w:after="100" w:afterAutospacing="1" w:line="240" w:lineRule="auto"/>
        <w:jc w:val="both"/>
        <w:rPr>
          <w:rFonts w:ascii="Verdana" w:eastAsia="Times New Roman" w:hAnsi="Verdana" w:cs="Times New Roman"/>
          <w:b/>
          <w:bCs/>
          <w:color w:val="000000"/>
          <w:sz w:val="20"/>
          <w:szCs w:val="20"/>
          <w:lang w:eastAsia="es-CR"/>
        </w:rPr>
      </w:pPr>
      <w:r w:rsidRPr="00FB2555">
        <w:rPr>
          <w:rFonts w:ascii="Verdana" w:eastAsia="Times New Roman" w:hAnsi="Verdana" w:cs="Times New Roman"/>
          <w:b/>
          <w:bCs/>
          <w:color w:val="000000"/>
          <w:sz w:val="20"/>
          <w:szCs w:val="20"/>
          <w:lang w:eastAsia="es-CR"/>
        </w:rPr>
        <w:lastRenderedPageBreak/>
        <w:t>XII.-</w:t>
      </w:r>
    </w:p>
    <w:p w:rsidR="00A65DB7" w:rsidRPr="00FB2555" w:rsidRDefault="00A65DB7" w:rsidP="00A65DB7">
      <w:pPr>
        <w:spacing w:after="0"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Conclusión.</w:t>
      </w:r>
      <w:r w:rsidRPr="00FB2555">
        <w:rPr>
          <w:rFonts w:ascii="Verdana" w:eastAsia="Times New Roman" w:hAnsi="Verdana" w:cs="Times New Roman"/>
          <w:color w:val="000000"/>
          <w:sz w:val="20"/>
          <w:szCs w:val="20"/>
          <w:lang w:eastAsia="es-CR"/>
        </w:rPr>
        <w:t xml:space="preserve"> A partir de los argumentos contenidos en los párrafos que anteceden, esta Sala ha llegado a la conclusión que los artículos 20 inciso b), párrafos II, VIII, IX y X; 21, 38, 60 y 61, todos del Reglamento denominado “Normativa de Relaciones Laborales” emitido por la Junta Directiva de la Caja Costarricense de Seguro Social, aprobado por la Junta Directiva de la Caja Costarricense de Seguro Social en sesiones números 7217 y 7234 de veintitrés de mayo y treinta de junio, ambos de mil novecientos noventa y ocho, artículos 23 y 1°, respectivamente, publicado en La Gaceta número 137 de dieciséis de julio de mil novecientos noventa y ocho, no son inconstitucionales por las razones invocadas por los demandantes, por lo que de conformidad con lo establecido en el artículo 87 de la Ley de la Jurisdicción Constitucional, lo que procede es declarar sin lugar la presente acción de inconstitucionalidad en cuanto a tales extremos. Respecto del artículo 48 del mismo cuerpo normativo, deben estarse los accionantes a la sentencia citada.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La Magistrada Calzada y el Magistrado Armijo ponen nota. </w:t>
      </w:r>
    </w:p>
    <w:p w:rsidR="00A65DB7" w:rsidRPr="00FB2555" w:rsidRDefault="00A65DB7" w:rsidP="00A65DB7">
      <w:pPr>
        <w:spacing w:before="100" w:beforeAutospacing="1" w:after="100" w:afterAutospacing="1" w:line="240" w:lineRule="auto"/>
        <w:jc w:val="center"/>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Por tanto:</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proofErr w:type="spellStart"/>
      <w:r w:rsidRPr="00FB2555">
        <w:rPr>
          <w:rFonts w:ascii="Verdana" w:eastAsia="Times New Roman" w:hAnsi="Verdana" w:cs="Times New Roman"/>
          <w:color w:val="000000"/>
          <w:sz w:val="20"/>
          <w:szCs w:val="20"/>
          <w:lang w:eastAsia="es-CR"/>
        </w:rPr>
        <w:t>Esténse</w:t>
      </w:r>
      <w:proofErr w:type="spellEnd"/>
      <w:r w:rsidRPr="00FB2555">
        <w:rPr>
          <w:rFonts w:ascii="Verdana" w:eastAsia="Times New Roman" w:hAnsi="Verdana" w:cs="Times New Roman"/>
          <w:color w:val="000000"/>
          <w:sz w:val="20"/>
          <w:szCs w:val="20"/>
          <w:lang w:eastAsia="es-CR"/>
        </w:rPr>
        <w:t xml:space="preserve"> los accionantes a lo resuelto por esta Sala en sentencia número 2006-06347 de las dieciséis horas con cincuenta y ocho minutos del diez de mayo de dos mil seis en cuanto se refiere al artículo 48 de la Normativa de Relaciones Laborales de la Caja Costarricense de Seguro Social. En lo demás, se declara sin lugar la acción. Notifíquese.-</w:t>
      </w:r>
    </w:p>
    <w:p w:rsidR="00A65DB7" w:rsidRPr="00FB2555" w:rsidRDefault="00A65DB7" w:rsidP="00A65DB7">
      <w:pPr>
        <w:spacing w:before="100" w:beforeAutospacing="1" w:after="100" w:afterAutospacing="1" w:line="240" w:lineRule="auto"/>
        <w:jc w:val="center"/>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Luis Fernando Solano C. </w:t>
      </w:r>
    </w:p>
    <w:p w:rsidR="00A65DB7" w:rsidRPr="00FB2555" w:rsidRDefault="00A65DB7" w:rsidP="00A65DB7">
      <w:pPr>
        <w:spacing w:before="100" w:beforeAutospacing="1" w:after="100" w:afterAutospacing="1" w:line="240" w:lineRule="auto"/>
        <w:jc w:val="center"/>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Presidente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Ana Virginia Calzada M. Adrián Vargas B.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Gilbert Armijo S. Fernando Cruz C.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Horacio González Q. Marta </w:t>
      </w:r>
      <w:proofErr w:type="spellStart"/>
      <w:r w:rsidRPr="00FB2555">
        <w:rPr>
          <w:rFonts w:ascii="Verdana" w:eastAsia="Times New Roman" w:hAnsi="Verdana" w:cs="Times New Roman"/>
          <w:color w:val="000000"/>
          <w:sz w:val="20"/>
          <w:szCs w:val="20"/>
          <w:lang w:eastAsia="es-CR"/>
        </w:rPr>
        <w:t>Maria</w:t>
      </w:r>
      <w:proofErr w:type="spellEnd"/>
      <w:r w:rsidRPr="00FB2555">
        <w:rPr>
          <w:rFonts w:ascii="Verdana" w:eastAsia="Times New Roman" w:hAnsi="Verdana" w:cs="Times New Roman"/>
          <w:color w:val="000000"/>
          <w:sz w:val="20"/>
          <w:szCs w:val="20"/>
          <w:lang w:eastAsia="es-CR"/>
        </w:rPr>
        <w:t xml:space="preserve"> </w:t>
      </w:r>
      <w:proofErr w:type="spellStart"/>
      <w:r w:rsidRPr="00FB2555">
        <w:rPr>
          <w:rFonts w:ascii="Verdana" w:eastAsia="Times New Roman" w:hAnsi="Verdana" w:cs="Times New Roman"/>
          <w:color w:val="000000"/>
          <w:sz w:val="20"/>
          <w:szCs w:val="20"/>
          <w:lang w:eastAsia="es-CR"/>
        </w:rPr>
        <w:t>Vinocour</w:t>
      </w:r>
      <w:proofErr w:type="spellEnd"/>
      <w:r w:rsidRPr="00FB2555">
        <w:rPr>
          <w:rFonts w:ascii="Verdana" w:eastAsia="Times New Roman" w:hAnsi="Verdana" w:cs="Times New Roman"/>
          <w:color w:val="000000"/>
          <w:sz w:val="20"/>
          <w:szCs w:val="20"/>
          <w:lang w:eastAsia="es-CR"/>
        </w:rPr>
        <w:t xml:space="preserve"> F. 167/69/</w:t>
      </w:r>
      <w:proofErr w:type="spellStart"/>
      <w:r w:rsidRPr="00FB2555">
        <w:rPr>
          <w:rFonts w:ascii="Verdana" w:eastAsia="Times New Roman" w:hAnsi="Verdana" w:cs="Times New Roman"/>
          <w:color w:val="000000"/>
          <w:sz w:val="20"/>
          <w:szCs w:val="20"/>
          <w:lang w:eastAsia="es-CR"/>
        </w:rPr>
        <w:t>oc</w:t>
      </w:r>
      <w:proofErr w:type="spellEnd"/>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EXP. 03-010615-0007-CO</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NOTA DE LA MAGISTRADA CALZADA MIRANDA:</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Vistos los términos en los que está redactado el voto de mayoría, considero innecesario poner la nota que en su momento estimé oportuna, por lo que, renuncio a ésta. </w:t>
      </w:r>
    </w:p>
    <w:p w:rsidR="00A65DB7" w:rsidRPr="00FB2555" w:rsidRDefault="00A65DB7" w:rsidP="00A65DB7">
      <w:pPr>
        <w:spacing w:before="100" w:beforeAutospacing="1" w:after="100" w:afterAutospacing="1" w:line="240" w:lineRule="auto"/>
        <w:jc w:val="center"/>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Ana Virginia Calzada M.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proofErr w:type="spellStart"/>
      <w:r w:rsidRPr="00FB2555">
        <w:rPr>
          <w:rFonts w:ascii="Verdana" w:eastAsia="Times New Roman" w:hAnsi="Verdana" w:cs="Times New Roman"/>
          <w:b/>
          <w:bCs/>
          <w:color w:val="000000"/>
          <w:sz w:val="20"/>
          <w:szCs w:val="20"/>
          <w:lang w:eastAsia="es-CR"/>
        </w:rPr>
        <w:t>Exp</w:t>
      </w:r>
      <w:proofErr w:type="spellEnd"/>
      <w:r w:rsidRPr="00FB2555">
        <w:rPr>
          <w:rFonts w:ascii="Verdana" w:eastAsia="Times New Roman" w:hAnsi="Verdana" w:cs="Times New Roman"/>
          <w:b/>
          <w:bCs/>
          <w:color w:val="000000"/>
          <w:sz w:val="20"/>
          <w:szCs w:val="20"/>
          <w:lang w:eastAsia="es-CR"/>
        </w:rPr>
        <w:t>: 03-010615-0007-CO</w:t>
      </w:r>
      <w:r w:rsidRPr="00FB2555">
        <w:rPr>
          <w:rFonts w:ascii="Verdana" w:eastAsia="Times New Roman" w:hAnsi="Verdana" w:cs="Times New Roman"/>
          <w:color w:val="000000"/>
          <w:sz w:val="20"/>
          <w:szCs w:val="20"/>
          <w:lang w:eastAsia="es-CR"/>
        </w:rPr>
        <w:t xml:space="preserve"> </w:t>
      </w:r>
    </w:p>
    <w:p w:rsidR="00A65DB7" w:rsidRPr="00FB2555" w:rsidRDefault="00A65DB7" w:rsidP="00A65DB7">
      <w:pPr>
        <w:spacing w:before="100" w:beforeAutospacing="1" w:after="100" w:afterAutospacing="1" w:line="240" w:lineRule="auto"/>
        <w:jc w:val="both"/>
        <w:rPr>
          <w:rFonts w:ascii="Verdana" w:eastAsia="Times New Roman" w:hAnsi="Verdana" w:cs="Times New Roman"/>
          <w:color w:val="000000"/>
          <w:sz w:val="20"/>
          <w:szCs w:val="20"/>
          <w:lang w:eastAsia="es-CR"/>
        </w:rPr>
      </w:pPr>
      <w:r w:rsidRPr="00FB2555">
        <w:rPr>
          <w:rFonts w:ascii="Verdana" w:eastAsia="Times New Roman" w:hAnsi="Verdana" w:cs="Times New Roman"/>
          <w:b/>
          <w:bCs/>
          <w:color w:val="000000"/>
          <w:sz w:val="20"/>
          <w:szCs w:val="20"/>
          <w:lang w:eastAsia="es-CR"/>
        </w:rPr>
        <w:t>NOTA DEL MAGISTRADO ARMIJO SANCHO</w:t>
      </w:r>
      <w:r w:rsidRPr="00FB2555">
        <w:rPr>
          <w:rFonts w:ascii="Verdana" w:eastAsia="Times New Roman" w:hAnsi="Verdana" w:cs="Times New Roman"/>
          <w:color w:val="000000"/>
          <w:sz w:val="20"/>
          <w:szCs w:val="20"/>
          <w:lang w:eastAsia="es-CR"/>
        </w:rPr>
        <w:t xml:space="preserve"> : El asunto que se plantea a propósito de esta acción de inconstitucionalidad contiene algunas divergencias respecto de aquellos sobre los cuales se ha venido pronunciando la Sala anteriormente acerca de </w:t>
      </w:r>
      <w:r w:rsidRPr="00FB2555">
        <w:rPr>
          <w:rFonts w:ascii="Verdana" w:eastAsia="Times New Roman" w:hAnsi="Verdana" w:cs="Times New Roman"/>
          <w:color w:val="000000"/>
          <w:sz w:val="20"/>
          <w:szCs w:val="20"/>
          <w:lang w:eastAsia="es-CR"/>
        </w:rPr>
        <w:lastRenderedPageBreak/>
        <w:t>ciertos derechos laborales otorgados en convenciones colectivas en instituciones del sector público (</w:t>
      </w:r>
      <w:proofErr w:type="spellStart"/>
      <w:r w:rsidRPr="00FB2555">
        <w:rPr>
          <w:rFonts w:ascii="Verdana" w:eastAsia="Times New Roman" w:hAnsi="Verdana" w:cs="Times New Roman"/>
          <w:color w:val="000000"/>
          <w:sz w:val="20"/>
          <w:szCs w:val="20"/>
          <w:lang w:eastAsia="es-CR"/>
        </w:rPr>
        <w:t>v.gr.</w:t>
      </w:r>
      <w:proofErr w:type="spellEnd"/>
      <w:r w:rsidRPr="00FB2555">
        <w:rPr>
          <w:rFonts w:ascii="Verdana" w:eastAsia="Times New Roman" w:hAnsi="Verdana" w:cs="Times New Roman"/>
          <w:color w:val="000000"/>
          <w:sz w:val="20"/>
          <w:szCs w:val="20"/>
          <w:lang w:eastAsia="es-CR"/>
        </w:rPr>
        <w:t xml:space="preserve"> expedientes 03-012026-0007- CO, 04-000777-0007-CO, 04-003044-0007-CO, 04-001740-0007-CO, 03- 010363-0007-CO), en algunos de los cuales he salvado mi voto con la Magistrada Calzada Miranda, siendo la principal diferencia que las normas no están consagradas en un instrumento convencional, sino en una reglamento interno dictado por la Junta Directiva de la Caja Costarricense de Seguro Social. De ese modo, deseo aclarar que, además de no haber integrado la Sala para la decisión del caso al que aquí se remite (sentencia #2006-6347), estimo que la aplicación de los precedentes dichos debe atemperarse por tratarse de fuentes normativas diversas las que contienen las disposiciones impugnadas. </w:t>
      </w:r>
    </w:p>
    <w:p w:rsidR="00A65DB7" w:rsidRPr="00FB2555" w:rsidRDefault="00A65DB7" w:rsidP="00A65DB7">
      <w:pPr>
        <w:spacing w:before="100" w:beforeAutospacing="1" w:after="100" w:afterAutospacing="1" w:line="240" w:lineRule="auto"/>
        <w:jc w:val="center"/>
        <w:rPr>
          <w:rFonts w:ascii="Verdana" w:eastAsia="Times New Roman" w:hAnsi="Verdana" w:cs="Times New Roman"/>
          <w:color w:val="000000"/>
          <w:sz w:val="20"/>
          <w:szCs w:val="20"/>
          <w:lang w:eastAsia="es-CR"/>
        </w:rPr>
      </w:pPr>
      <w:r w:rsidRPr="00FB2555">
        <w:rPr>
          <w:rFonts w:ascii="Verdana" w:eastAsia="Times New Roman" w:hAnsi="Verdana" w:cs="Times New Roman"/>
          <w:color w:val="000000"/>
          <w:sz w:val="20"/>
          <w:szCs w:val="20"/>
          <w:lang w:eastAsia="es-CR"/>
        </w:rPr>
        <w:t xml:space="preserve">Gilbert Armijo S. </w:t>
      </w:r>
    </w:p>
    <w:p w:rsidR="00266566" w:rsidRDefault="00A65DB7" w:rsidP="00A65DB7">
      <w:r w:rsidRPr="00FB2555">
        <w:rPr>
          <w:rFonts w:ascii="Verdana" w:eastAsia="Times New Roman" w:hAnsi="Verdana" w:cs="Times New Roman"/>
          <w:color w:val="000000"/>
          <w:sz w:val="20"/>
          <w:szCs w:val="20"/>
          <w:lang w:eastAsia="es-CR"/>
        </w:rPr>
        <w:br/>
      </w:r>
      <w:r w:rsidRPr="00FB2555">
        <w:rPr>
          <w:rFonts w:ascii="Verdana" w:eastAsia="Times New Roman" w:hAnsi="Verdana" w:cs="Times New Roman"/>
          <w:b/>
          <w:bCs/>
          <w:color w:val="000000"/>
          <w:sz w:val="15"/>
          <w:szCs w:val="15"/>
          <w:lang w:eastAsia="es-CR"/>
        </w:rPr>
        <w:t>Es copia fiel del original - Tomado del Sistema Costarricense de Información Jurídica el: 13/2/2013 3:25:21 PM</w:t>
      </w:r>
    </w:p>
    <w:sectPr w:rsidR="00266566" w:rsidSect="0026656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65DB7"/>
    <w:rsid w:val="00266566"/>
    <w:rsid w:val="00361D2E"/>
    <w:rsid w:val="00450CC0"/>
    <w:rsid w:val="006E25B9"/>
    <w:rsid w:val="009A0E05"/>
    <w:rsid w:val="009C1DDE"/>
    <w:rsid w:val="00A65DB7"/>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DB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23</Pages>
  <Words>12200</Words>
  <Characters>67102</Characters>
  <Application>Microsoft Office Word</Application>
  <DocSecurity>0</DocSecurity>
  <Lines>559</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zbenavid</dc:creator>
  <cp:lastModifiedBy>zbenavid</cp:lastModifiedBy>
  <cp:revision>2</cp:revision>
  <cp:lastPrinted>2014-05-27T17:14:00Z</cp:lastPrinted>
  <dcterms:created xsi:type="dcterms:W3CDTF">2013-02-13T21:13:00Z</dcterms:created>
  <dcterms:modified xsi:type="dcterms:W3CDTF">2014-05-27T20:24:00Z</dcterms:modified>
</cp:coreProperties>
</file>